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9B9" w:rsidRPr="009D4AA4" w:rsidRDefault="008E59B9" w:rsidP="008E59B9">
      <w:pPr>
        <w:jc w:val="center"/>
        <w:rPr>
          <w:rFonts w:cs="David"/>
          <w:b/>
          <w:bCs/>
          <w:sz w:val="28"/>
          <w:szCs w:val="28"/>
        </w:rPr>
      </w:pPr>
      <w:r w:rsidRPr="009D4AA4">
        <w:rPr>
          <w:rFonts w:cs="David"/>
          <w:b/>
          <w:bCs/>
          <w:noProof/>
          <w:sz w:val="28"/>
          <w:szCs w:val="28"/>
        </w:rPr>
        <w:drawing>
          <wp:inline distT="0" distB="0" distL="0" distR="0" wp14:anchorId="4D047896" wp14:editId="3F92E6F0">
            <wp:extent cx="494030" cy="572770"/>
            <wp:effectExtent l="0" t="0" r="1270" b="0"/>
            <wp:docPr id="1" name="תמונה 1" descr="B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U"/>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94030" cy="572770"/>
                    </a:xfrm>
                    <a:prstGeom prst="rect">
                      <a:avLst/>
                    </a:prstGeom>
                    <a:noFill/>
                    <a:ln>
                      <a:noFill/>
                    </a:ln>
                  </pic:spPr>
                </pic:pic>
              </a:graphicData>
            </a:graphic>
          </wp:inline>
        </w:drawing>
      </w:r>
    </w:p>
    <w:p w:rsidR="008E59B9" w:rsidRPr="009D4AA4" w:rsidRDefault="008E59B9" w:rsidP="008E59B9">
      <w:pPr>
        <w:pStyle w:val="a3"/>
        <w:rPr>
          <w:rtl/>
        </w:rPr>
      </w:pPr>
      <w:r w:rsidRPr="009D4AA4">
        <w:rPr>
          <w:rtl/>
        </w:rPr>
        <w:t>אוניברסיטת בן-גוריון בנגב</w:t>
      </w:r>
    </w:p>
    <w:p w:rsidR="003366B1" w:rsidRPr="009D4AA4" w:rsidRDefault="008E59B9" w:rsidP="003366B1">
      <w:pPr>
        <w:jc w:val="center"/>
        <w:rPr>
          <w:rFonts w:cs="David"/>
          <w:b/>
          <w:bCs/>
          <w:sz w:val="28"/>
          <w:szCs w:val="28"/>
          <w:rtl/>
        </w:rPr>
      </w:pPr>
      <w:r w:rsidRPr="009D4AA4">
        <w:rPr>
          <w:rFonts w:cs="David"/>
          <w:b/>
          <w:bCs/>
          <w:sz w:val="28"/>
          <w:szCs w:val="28"/>
          <w:rtl/>
        </w:rPr>
        <w:t>הפקולטה למדעי הרוח והחברה</w:t>
      </w:r>
    </w:p>
    <w:p w:rsidR="000216CE" w:rsidRPr="009D4AA4" w:rsidRDefault="000216CE" w:rsidP="003366B1">
      <w:pPr>
        <w:jc w:val="center"/>
        <w:rPr>
          <w:rFonts w:cs="David"/>
          <w:b/>
          <w:bCs/>
          <w:sz w:val="28"/>
          <w:szCs w:val="28"/>
          <w:rtl/>
        </w:rPr>
      </w:pPr>
    </w:p>
    <w:p w:rsidR="009D4AA4" w:rsidRPr="009D4AA4" w:rsidRDefault="009D4AA4" w:rsidP="009D4AA4">
      <w:pPr>
        <w:pStyle w:val="a4"/>
        <w:jc w:val="center"/>
        <w:rPr>
          <w:rFonts w:ascii="Arial" w:hAnsi="Arial" w:cs="Arial"/>
          <w:sz w:val="28"/>
          <w:szCs w:val="28"/>
          <w:u w:val="single"/>
          <w:rtl/>
        </w:rPr>
      </w:pPr>
      <w:r w:rsidRPr="009D4AA4">
        <w:rPr>
          <w:rFonts w:ascii="Arial" w:hAnsi="Arial" w:cs="Arial"/>
          <w:sz w:val="28"/>
          <w:szCs w:val="28"/>
          <w:u w:val="single"/>
          <w:rtl/>
        </w:rPr>
        <w:t>תשע"</w:t>
      </w:r>
      <w:r w:rsidRPr="009D4AA4">
        <w:rPr>
          <w:rFonts w:ascii="Arial" w:hAnsi="Arial" w:cs="Arial" w:hint="cs"/>
          <w:sz w:val="28"/>
          <w:szCs w:val="28"/>
          <w:u w:val="single"/>
          <w:rtl/>
        </w:rPr>
        <w:t>ח</w:t>
      </w:r>
      <w:r w:rsidRPr="009D4AA4">
        <w:rPr>
          <w:rFonts w:ascii="Arial" w:hAnsi="Arial" w:cs="Arial"/>
          <w:sz w:val="28"/>
          <w:szCs w:val="28"/>
          <w:u w:val="single"/>
          <w:rtl/>
        </w:rPr>
        <w:t xml:space="preserve"> </w:t>
      </w:r>
      <w:r w:rsidRPr="009D4AA4">
        <w:rPr>
          <w:rFonts w:ascii="Arial" w:hAnsi="Arial" w:cs="Arial" w:hint="cs"/>
          <w:sz w:val="28"/>
          <w:szCs w:val="28"/>
          <w:u w:val="single"/>
          <w:rtl/>
        </w:rPr>
        <w:t>2018</w:t>
      </w:r>
      <w:r w:rsidRPr="009D4AA4">
        <w:rPr>
          <w:rFonts w:ascii="Arial" w:hAnsi="Arial" w:cs="Arial"/>
          <w:sz w:val="28"/>
          <w:szCs w:val="28"/>
          <w:u w:val="single"/>
          <w:rtl/>
        </w:rPr>
        <w:t>- 2017</w:t>
      </w:r>
    </w:p>
    <w:p w:rsidR="00F8177B" w:rsidRPr="009D4AA4" w:rsidRDefault="00F8177B" w:rsidP="00F8177B">
      <w:pPr>
        <w:bidi w:val="0"/>
        <w:rPr>
          <w:sz w:val="28"/>
          <w:szCs w:val="28"/>
        </w:rPr>
      </w:pPr>
    </w:p>
    <w:p w:rsidR="000216CE" w:rsidRPr="009D4AA4" w:rsidRDefault="000216CE" w:rsidP="000216CE">
      <w:pPr>
        <w:jc w:val="center"/>
        <w:rPr>
          <w:sz w:val="28"/>
          <w:szCs w:val="28"/>
          <w:rtl/>
        </w:rPr>
      </w:pPr>
      <w:r w:rsidRPr="009D4AA4">
        <w:rPr>
          <w:rFonts w:hint="cs"/>
          <w:sz w:val="28"/>
          <w:szCs w:val="28"/>
          <w:rtl/>
        </w:rPr>
        <w:t>ד"ר לאונרדו כהן</w:t>
      </w:r>
    </w:p>
    <w:p w:rsidR="009D4AA4" w:rsidRPr="009D4AA4" w:rsidRDefault="009D4AA4" w:rsidP="009D4AA4">
      <w:pPr>
        <w:jc w:val="center"/>
        <w:rPr>
          <w:sz w:val="28"/>
          <w:szCs w:val="28"/>
          <w:rtl/>
          <w:lang w:val="es-MX"/>
        </w:rPr>
      </w:pPr>
      <w:r w:rsidRPr="009D4AA4">
        <w:rPr>
          <w:rFonts w:hint="cs"/>
          <w:sz w:val="28"/>
          <w:szCs w:val="28"/>
          <w:rtl/>
          <w:lang w:val="es-MX"/>
        </w:rPr>
        <w:t>המחלקה למזרח התיכון והתוכנית הבין-אוניברסיטאי ללימודי אפריקה</w:t>
      </w:r>
    </w:p>
    <w:p w:rsidR="009D4AA4" w:rsidRPr="009D4AA4" w:rsidRDefault="009D4AA4" w:rsidP="009D4AA4">
      <w:pPr>
        <w:jc w:val="center"/>
        <w:rPr>
          <w:rFonts w:hint="cs"/>
          <w:sz w:val="28"/>
          <w:szCs w:val="28"/>
          <w:rtl/>
          <w:lang w:val="es-MX"/>
        </w:rPr>
      </w:pPr>
    </w:p>
    <w:p w:rsidR="009D4AA4" w:rsidRPr="009D4AA4" w:rsidRDefault="009D4AA4" w:rsidP="009D4AA4">
      <w:pPr>
        <w:jc w:val="center"/>
        <w:rPr>
          <w:rFonts w:hint="cs"/>
          <w:sz w:val="28"/>
          <w:szCs w:val="28"/>
          <w:rtl/>
          <w:lang w:val="es-MX"/>
        </w:rPr>
      </w:pPr>
    </w:p>
    <w:p w:rsidR="009D4AA4" w:rsidRPr="009D4AA4" w:rsidRDefault="009D4AA4" w:rsidP="009D4AA4">
      <w:pPr>
        <w:jc w:val="center"/>
        <w:rPr>
          <w:rFonts w:hint="cs"/>
          <w:sz w:val="28"/>
          <w:szCs w:val="28"/>
          <w:rtl/>
          <w:lang w:val="es-MX"/>
        </w:rPr>
      </w:pPr>
      <w:r w:rsidRPr="009D4AA4">
        <w:rPr>
          <w:rFonts w:cs="David" w:hint="cs"/>
          <w:b/>
          <w:bCs/>
          <w:sz w:val="28"/>
          <w:szCs w:val="28"/>
          <w:rtl/>
        </w:rPr>
        <w:t>תולדות הנזירות בכנסיות המזרחיות</w:t>
      </w:r>
    </w:p>
    <w:p w:rsidR="009D4AA4" w:rsidRPr="009D4AA4" w:rsidRDefault="009D4AA4" w:rsidP="009D4AA4">
      <w:pPr>
        <w:jc w:val="center"/>
        <w:rPr>
          <w:sz w:val="28"/>
          <w:szCs w:val="28"/>
          <w:rtl/>
          <w:lang w:val="es-MX"/>
        </w:rPr>
      </w:pPr>
      <w:r w:rsidRPr="009D4AA4">
        <w:rPr>
          <w:rFonts w:hint="cs"/>
          <w:sz w:val="28"/>
          <w:szCs w:val="28"/>
          <w:rtl/>
          <w:lang w:val="es-MX"/>
        </w:rPr>
        <w:t>סמסטר ב</w:t>
      </w:r>
    </w:p>
    <w:p w:rsidR="009D4AA4" w:rsidRPr="009D4AA4" w:rsidRDefault="009D4AA4" w:rsidP="009D4AA4">
      <w:pPr>
        <w:jc w:val="center"/>
        <w:rPr>
          <w:sz w:val="28"/>
          <w:szCs w:val="28"/>
          <w:rtl/>
          <w:lang w:val="es-MX"/>
        </w:rPr>
      </w:pPr>
    </w:p>
    <w:p w:rsidR="009D4AA4" w:rsidRPr="009D4AA4" w:rsidRDefault="009D4AA4" w:rsidP="009D4AA4">
      <w:pPr>
        <w:jc w:val="center"/>
        <w:rPr>
          <w:sz w:val="28"/>
          <w:szCs w:val="28"/>
          <w:rtl/>
          <w:lang w:val="es-MX"/>
        </w:rPr>
      </w:pPr>
      <w:r w:rsidRPr="009D4AA4">
        <w:rPr>
          <w:rFonts w:hint="cs"/>
          <w:sz w:val="28"/>
          <w:szCs w:val="28"/>
          <w:rtl/>
          <w:lang w:val="es-MX"/>
        </w:rPr>
        <w:t>שעת קבלה בסמסטר ב: 15:00-16:00</w:t>
      </w:r>
    </w:p>
    <w:p w:rsidR="008E59B9" w:rsidRPr="009D4AA4" w:rsidRDefault="008E59B9" w:rsidP="000216CE">
      <w:pPr>
        <w:bidi w:val="0"/>
        <w:jc w:val="center"/>
        <w:rPr>
          <w:sz w:val="28"/>
          <w:szCs w:val="28"/>
        </w:rPr>
      </w:pPr>
    </w:p>
    <w:p w:rsidR="000216CE" w:rsidRPr="009D4AA4" w:rsidRDefault="000216CE" w:rsidP="000216CE">
      <w:pPr>
        <w:rPr>
          <w:rFonts w:cs="David"/>
          <w:sz w:val="28"/>
          <w:szCs w:val="28"/>
          <w:rtl/>
        </w:rPr>
      </w:pPr>
      <w:r w:rsidRPr="009D4AA4">
        <w:rPr>
          <w:rFonts w:cs="David" w:hint="cs"/>
          <w:sz w:val="28"/>
          <w:szCs w:val="28"/>
          <w:rtl/>
        </w:rPr>
        <w:t>הקורס המוצע עוסק התולדות הנזירות</w:t>
      </w:r>
      <w:r w:rsidR="009D4AA4">
        <w:rPr>
          <w:rFonts w:cs="David" w:hint="cs"/>
          <w:sz w:val="28"/>
          <w:szCs w:val="28"/>
          <w:rtl/>
        </w:rPr>
        <w:t xml:space="preserve"> בנצרות המזרחית (מיצרית, סורית, </w:t>
      </w:r>
      <w:r w:rsidRPr="009D4AA4">
        <w:rPr>
          <w:rFonts w:cs="David" w:hint="cs"/>
          <w:sz w:val="28"/>
          <w:szCs w:val="28"/>
          <w:rtl/>
        </w:rPr>
        <w:t>אתיופית וארמנית) וההקשרים התרבותיים של תופעה זאת. במהלך הקורס הסטודנטים יחשפו לדגמים שונים של סגפנות וגם יבחנו סוגיות ספציפיות כמו הקשר בין הסגפנים והנזירים כלפי החברה הסובבת אותם, סוגיות מגדריות וגם הביקורת שמיסיונרים זרים מתחו כלפי הנזירות המזרחית. מצופה מהסטודנטים להתייחס לחומר הקריאה ולהשתתף באופן פעיל בכיתה</w:t>
      </w:r>
    </w:p>
    <w:p w:rsidR="000216CE" w:rsidRPr="009D4AA4" w:rsidRDefault="000216CE" w:rsidP="000216CE">
      <w:pPr>
        <w:bidi w:val="0"/>
        <w:jc w:val="right"/>
        <w:rPr>
          <w:sz w:val="28"/>
          <w:szCs w:val="28"/>
          <w:rtl/>
        </w:rPr>
      </w:pPr>
      <w:r w:rsidRPr="009D4AA4">
        <w:rPr>
          <w:rFonts w:hint="cs"/>
          <w:sz w:val="28"/>
          <w:szCs w:val="28"/>
          <w:rtl/>
        </w:rPr>
        <w:t>2 נקודות</w:t>
      </w:r>
    </w:p>
    <w:p w:rsidR="000216CE" w:rsidRPr="009D4AA4" w:rsidRDefault="009D4AA4" w:rsidP="000216CE">
      <w:pPr>
        <w:bidi w:val="0"/>
        <w:jc w:val="right"/>
        <w:rPr>
          <w:b/>
          <w:bCs/>
          <w:sz w:val="28"/>
          <w:szCs w:val="28"/>
        </w:rPr>
      </w:pPr>
      <w:r w:rsidRPr="009D4AA4">
        <w:rPr>
          <w:rFonts w:hint="cs"/>
          <w:b/>
          <w:bCs/>
          <w:sz w:val="28"/>
          <w:szCs w:val="28"/>
          <w:rtl/>
          <w:lang w:val="es-MX"/>
        </w:rPr>
        <w:t>מילות מפתח: נזירות, נצרות, מזרח תיכון, סגפנות.</w:t>
      </w:r>
    </w:p>
    <w:p w:rsidR="009D4AA4" w:rsidRPr="009D4AA4" w:rsidRDefault="009D4AA4" w:rsidP="009D4AA4">
      <w:pPr>
        <w:bidi w:val="0"/>
        <w:jc w:val="right"/>
        <w:rPr>
          <w:b/>
          <w:bCs/>
          <w:sz w:val="28"/>
          <w:szCs w:val="28"/>
          <w:rtl/>
          <w:lang w:val="es-MX"/>
        </w:rPr>
      </w:pPr>
    </w:p>
    <w:p w:rsidR="000216CE" w:rsidRPr="009D4AA4" w:rsidRDefault="000216CE" w:rsidP="000216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inherit" w:hAnsi="inherit" w:cs="Courier New"/>
          <w:color w:val="212121"/>
          <w:sz w:val="28"/>
          <w:szCs w:val="28"/>
        </w:rPr>
      </w:pPr>
      <w:r w:rsidRPr="009D4AA4">
        <w:rPr>
          <w:rFonts w:ascii="inherit" w:hAnsi="inherit" w:cs="Courier New"/>
          <w:color w:val="212121"/>
          <w:sz w:val="28"/>
          <w:szCs w:val="28"/>
          <w:lang w:val="en"/>
        </w:rPr>
        <w:t xml:space="preserve">The course deals with the history of monasticism in Eastern Christianity (Egyptian, Syrian, Ethiopian and Armenian) and the cultural contexts of this phenomenon. During the course the students will be exposed to various models of asceticism and will examine specific issues such as the </w:t>
      </w:r>
      <w:r w:rsidRPr="009D4AA4">
        <w:rPr>
          <w:rFonts w:ascii="inherit" w:hAnsi="inherit" w:cs="Courier New"/>
          <w:color w:val="212121"/>
          <w:sz w:val="28"/>
          <w:szCs w:val="28"/>
          <w:lang w:val="en"/>
        </w:rPr>
        <w:lastRenderedPageBreak/>
        <w:t>connection between the ascetics and the monks towards the society surrounding them, gender issues and the criticism that foreign missionaries developed toward the Eastern monks. Students are expected to relate to the reading material and actively participate in the classroom</w:t>
      </w:r>
      <w:r w:rsidRPr="009D4AA4">
        <w:rPr>
          <w:rFonts w:ascii="inherit" w:hAnsi="inherit" w:cs="Courier New"/>
          <w:color w:val="212121"/>
          <w:sz w:val="28"/>
          <w:szCs w:val="28"/>
        </w:rPr>
        <w:t>.</w:t>
      </w:r>
    </w:p>
    <w:p w:rsidR="000216CE" w:rsidRPr="009D4AA4" w:rsidRDefault="009D4AA4" w:rsidP="000216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inherit" w:hAnsi="inherit" w:cs="Courier New"/>
          <w:color w:val="212121"/>
          <w:sz w:val="28"/>
          <w:szCs w:val="28"/>
        </w:rPr>
      </w:pPr>
      <w:r w:rsidRPr="009D4AA4">
        <w:rPr>
          <w:rFonts w:ascii="inherit" w:hAnsi="inherit" w:cs="Courier New"/>
          <w:color w:val="212121"/>
          <w:sz w:val="28"/>
          <w:szCs w:val="28"/>
        </w:rPr>
        <w:t>Keywords: Monasticism, Christianity, Middle East, Asceticism</w:t>
      </w:r>
    </w:p>
    <w:p w:rsidR="000216CE" w:rsidRPr="009D4AA4" w:rsidRDefault="000216CE" w:rsidP="000216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inherit" w:hAnsi="inherit" w:cs="Courier New"/>
          <w:color w:val="212121"/>
          <w:sz w:val="28"/>
          <w:szCs w:val="28"/>
        </w:rPr>
      </w:pPr>
      <w:proofErr w:type="gramStart"/>
      <w:r w:rsidRPr="009D4AA4">
        <w:rPr>
          <w:rFonts w:ascii="inherit" w:hAnsi="inherit" w:cs="Courier New"/>
          <w:color w:val="212121"/>
          <w:sz w:val="28"/>
          <w:szCs w:val="28"/>
        </w:rPr>
        <w:t>2 points.</w:t>
      </w:r>
      <w:proofErr w:type="gramEnd"/>
    </w:p>
    <w:p w:rsidR="000216CE" w:rsidRPr="009D4AA4" w:rsidRDefault="000216CE" w:rsidP="000216CE">
      <w:pPr>
        <w:rPr>
          <w:rFonts w:hint="cs"/>
          <w:b/>
          <w:bCs/>
          <w:sz w:val="28"/>
          <w:szCs w:val="28"/>
          <w:rtl/>
        </w:rPr>
      </w:pPr>
    </w:p>
    <w:p w:rsidR="009D4AA4" w:rsidRPr="009D4AA4" w:rsidRDefault="009D4AA4" w:rsidP="009D4AA4">
      <w:pPr>
        <w:rPr>
          <w:sz w:val="28"/>
          <w:szCs w:val="28"/>
          <w:rtl/>
        </w:rPr>
      </w:pPr>
      <w:r w:rsidRPr="009D4AA4">
        <w:rPr>
          <w:rFonts w:hint="cs"/>
          <w:sz w:val="28"/>
          <w:szCs w:val="28"/>
          <w:rtl/>
        </w:rPr>
        <w:t>נוכחות חובה</w:t>
      </w:r>
    </w:p>
    <w:p w:rsidR="009D4AA4" w:rsidRPr="009D4AA4" w:rsidRDefault="009D4AA4" w:rsidP="009D4AA4">
      <w:pPr>
        <w:rPr>
          <w:sz w:val="28"/>
          <w:szCs w:val="28"/>
          <w:rtl/>
        </w:rPr>
      </w:pPr>
      <w:r w:rsidRPr="009D4AA4">
        <w:rPr>
          <w:sz w:val="28"/>
          <w:szCs w:val="28"/>
          <w:rtl/>
        </w:rPr>
        <w:t xml:space="preserve">הרכב הציון בקורס בחלוקה לאחוזים: </w:t>
      </w:r>
      <w:r w:rsidRPr="009D4AA4">
        <w:rPr>
          <w:rFonts w:hint="cs"/>
          <w:sz w:val="28"/>
          <w:szCs w:val="28"/>
          <w:rtl/>
        </w:rPr>
        <w:t>20%</w:t>
      </w:r>
      <w:r w:rsidRPr="009D4AA4">
        <w:rPr>
          <w:sz w:val="28"/>
          <w:szCs w:val="28"/>
          <w:rtl/>
        </w:rPr>
        <w:t xml:space="preserve"> נוכחות והשתתפות, </w:t>
      </w:r>
      <w:r w:rsidRPr="009D4AA4">
        <w:rPr>
          <w:rFonts w:hint="cs"/>
          <w:sz w:val="28"/>
          <w:szCs w:val="28"/>
          <w:rtl/>
        </w:rPr>
        <w:t>80%</w:t>
      </w:r>
      <w:r w:rsidRPr="009D4AA4">
        <w:rPr>
          <w:sz w:val="28"/>
          <w:szCs w:val="28"/>
          <w:rtl/>
        </w:rPr>
        <w:t xml:space="preserve"> </w:t>
      </w:r>
      <w:r w:rsidRPr="009D4AA4">
        <w:rPr>
          <w:rFonts w:hint="cs"/>
          <w:sz w:val="28"/>
          <w:szCs w:val="28"/>
          <w:rtl/>
        </w:rPr>
        <w:t>עבודה</w:t>
      </w:r>
    </w:p>
    <w:p w:rsidR="009D4AA4" w:rsidRPr="009D4AA4" w:rsidRDefault="009D4AA4" w:rsidP="009D4AA4">
      <w:pPr>
        <w:rPr>
          <w:rFonts w:hint="cs"/>
          <w:sz w:val="28"/>
          <w:szCs w:val="28"/>
        </w:rPr>
      </w:pPr>
    </w:p>
    <w:p w:rsidR="000216CE" w:rsidRPr="009D4AA4" w:rsidRDefault="000216CE" w:rsidP="000216CE">
      <w:pPr>
        <w:bidi w:val="0"/>
        <w:jc w:val="right"/>
        <w:rPr>
          <w:b/>
          <w:bCs/>
          <w:sz w:val="28"/>
          <w:szCs w:val="28"/>
        </w:rPr>
      </w:pPr>
    </w:p>
    <w:p w:rsidR="000216CE" w:rsidRPr="009D4AA4" w:rsidRDefault="000216CE" w:rsidP="000216CE">
      <w:pPr>
        <w:bidi w:val="0"/>
        <w:jc w:val="right"/>
        <w:rPr>
          <w:b/>
          <w:bCs/>
          <w:sz w:val="28"/>
          <w:szCs w:val="28"/>
          <w:rtl/>
        </w:rPr>
      </w:pPr>
    </w:p>
    <w:p w:rsidR="008E59B9" w:rsidRPr="009D4AA4" w:rsidRDefault="009660AF" w:rsidP="009660AF">
      <w:pPr>
        <w:rPr>
          <w:rFonts w:hint="cs"/>
          <w:sz w:val="28"/>
          <w:szCs w:val="28"/>
          <w:rtl/>
        </w:rPr>
      </w:pPr>
      <w:r w:rsidRPr="009D4AA4">
        <w:rPr>
          <w:rFonts w:hint="cs"/>
          <w:sz w:val="28"/>
          <w:szCs w:val="28"/>
          <w:rtl/>
        </w:rPr>
        <w:t>מבוא:</w:t>
      </w:r>
    </w:p>
    <w:p w:rsidR="003366B1" w:rsidRPr="009D4AA4" w:rsidRDefault="003366B1" w:rsidP="009660AF">
      <w:pPr>
        <w:rPr>
          <w:sz w:val="28"/>
          <w:szCs w:val="28"/>
          <w:rtl/>
        </w:rPr>
      </w:pPr>
    </w:p>
    <w:p w:rsidR="003366B1" w:rsidRPr="009D4AA4" w:rsidRDefault="003366B1" w:rsidP="003366B1">
      <w:pPr>
        <w:pStyle w:val="a9"/>
        <w:numPr>
          <w:ilvl w:val="0"/>
          <w:numId w:val="2"/>
        </w:numPr>
        <w:rPr>
          <w:sz w:val="28"/>
          <w:szCs w:val="28"/>
        </w:rPr>
      </w:pPr>
      <w:r w:rsidRPr="009D4AA4">
        <w:rPr>
          <w:rFonts w:hint="cs"/>
          <w:sz w:val="28"/>
          <w:szCs w:val="28"/>
          <w:rtl/>
        </w:rPr>
        <w:t>סגפנות כאידאולוגיה</w:t>
      </w:r>
    </w:p>
    <w:p w:rsidR="003366B1" w:rsidRPr="009D4AA4" w:rsidRDefault="003366B1" w:rsidP="003366B1">
      <w:pPr>
        <w:bidi w:val="0"/>
        <w:rPr>
          <w:sz w:val="28"/>
          <w:szCs w:val="28"/>
        </w:rPr>
      </w:pPr>
      <w:r w:rsidRPr="009D4AA4">
        <w:rPr>
          <w:sz w:val="28"/>
          <w:szCs w:val="28"/>
        </w:rPr>
        <w:t xml:space="preserve">Geoffrey Galt Harpham, </w:t>
      </w:r>
      <w:proofErr w:type="gramStart"/>
      <w:r w:rsidRPr="009D4AA4">
        <w:rPr>
          <w:i/>
          <w:iCs/>
          <w:sz w:val="28"/>
          <w:szCs w:val="28"/>
        </w:rPr>
        <w:t>The</w:t>
      </w:r>
      <w:proofErr w:type="gramEnd"/>
      <w:r w:rsidRPr="009D4AA4">
        <w:rPr>
          <w:i/>
          <w:iCs/>
          <w:sz w:val="28"/>
          <w:szCs w:val="28"/>
        </w:rPr>
        <w:t xml:space="preserve"> Ascetic Imperative in Culture and Criticism, </w:t>
      </w:r>
      <w:r w:rsidRPr="009D4AA4">
        <w:rPr>
          <w:sz w:val="28"/>
          <w:szCs w:val="28"/>
        </w:rPr>
        <w:t>Chicago: The University of Chicago Press, 1993, pp. 1-88.</w:t>
      </w:r>
    </w:p>
    <w:p w:rsidR="008E59B9" w:rsidRPr="009D4AA4" w:rsidRDefault="003366B1" w:rsidP="008E59B9">
      <w:pPr>
        <w:rPr>
          <w:sz w:val="28"/>
          <w:szCs w:val="28"/>
          <w:rtl/>
        </w:rPr>
      </w:pPr>
      <w:r w:rsidRPr="009D4AA4">
        <w:rPr>
          <w:rFonts w:hint="cs"/>
          <w:sz w:val="28"/>
          <w:szCs w:val="28"/>
          <w:rtl/>
        </w:rPr>
        <w:t>2</w:t>
      </w:r>
      <w:r w:rsidR="009660AF" w:rsidRPr="009D4AA4">
        <w:rPr>
          <w:rFonts w:hint="cs"/>
          <w:sz w:val="28"/>
          <w:szCs w:val="28"/>
          <w:rtl/>
        </w:rPr>
        <w:t xml:space="preserve"> </w:t>
      </w:r>
      <w:r w:rsidR="008E59B9" w:rsidRPr="009D4AA4">
        <w:rPr>
          <w:rFonts w:hint="cs"/>
          <w:sz w:val="28"/>
          <w:szCs w:val="28"/>
          <w:rtl/>
        </w:rPr>
        <w:t>סגפנות בנצרות המזרחית:</w:t>
      </w:r>
    </w:p>
    <w:p w:rsidR="008E59B9" w:rsidRPr="009D4AA4" w:rsidRDefault="008E59B9" w:rsidP="008E59B9">
      <w:pPr>
        <w:rPr>
          <w:rFonts w:hint="cs"/>
          <w:sz w:val="28"/>
          <w:szCs w:val="28"/>
          <w:rtl/>
        </w:rPr>
      </w:pPr>
    </w:p>
    <w:p w:rsidR="008E59B9" w:rsidRPr="009D4AA4" w:rsidRDefault="008E59B9" w:rsidP="008E59B9">
      <w:pPr>
        <w:bidi w:val="0"/>
        <w:spacing w:line="240" w:lineRule="auto"/>
        <w:rPr>
          <w:rFonts w:ascii="Times New Roman" w:hAnsi="Times New Roman" w:cs="Times New Roman"/>
          <w:sz w:val="28"/>
          <w:szCs w:val="28"/>
        </w:rPr>
      </w:pPr>
      <w:r w:rsidRPr="009D4AA4">
        <w:rPr>
          <w:rFonts w:ascii="Times New Roman" w:hAnsi="Times New Roman" w:cs="Times New Roman"/>
          <w:sz w:val="28"/>
          <w:szCs w:val="28"/>
        </w:rPr>
        <w:t xml:space="preserve">Arthur </w:t>
      </w:r>
      <w:proofErr w:type="spellStart"/>
      <w:r w:rsidRPr="009D4AA4">
        <w:rPr>
          <w:rFonts w:ascii="Times New Roman" w:hAnsi="Times New Roman" w:cs="Times New Roman"/>
          <w:sz w:val="28"/>
          <w:szCs w:val="28"/>
        </w:rPr>
        <w:t>Vööbus</w:t>
      </w:r>
      <w:proofErr w:type="spellEnd"/>
      <w:r w:rsidRPr="009D4AA4">
        <w:rPr>
          <w:rFonts w:ascii="Times New Roman" w:hAnsi="Times New Roman" w:cs="Times New Roman"/>
          <w:sz w:val="28"/>
          <w:szCs w:val="28"/>
        </w:rPr>
        <w:t xml:space="preserve">, </w:t>
      </w:r>
      <w:r w:rsidRPr="009D4AA4">
        <w:rPr>
          <w:rFonts w:ascii="Times New Roman" w:hAnsi="Times New Roman" w:cs="Times New Roman"/>
          <w:i/>
          <w:iCs/>
          <w:sz w:val="28"/>
          <w:szCs w:val="28"/>
        </w:rPr>
        <w:t xml:space="preserve">History of Asceticism in the Christian Orient, </w:t>
      </w:r>
      <w:proofErr w:type="spellStart"/>
      <w:r w:rsidRPr="009D4AA4">
        <w:rPr>
          <w:rFonts w:ascii="Times New Roman" w:hAnsi="Times New Roman" w:cs="Times New Roman"/>
          <w:sz w:val="28"/>
          <w:szCs w:val="28"/>
        </w:rPr>
        <w:t>Lovaina</w:t>
      </w:r>
      <w:proofErr w:type="spellEnd"/>
      <w:r w:rsidRPr="009D4AA4">
        <w:rPr>
          <w:rFonts w:ascii="Times New Roman" w:hAnsi="Times New Roman" w:cs="Times New Roman"/>
          <w:sz w:val="28"/>
          <w:szCs w:val="28"/>
        </w:rPr>
        <w:t>, 1958-1960.</w:t>
      </w:r>
    </w:p>
    <w:p w:rsidR="008E59B9" w:rsidRPr="009D4AA4" w:rsidRDefault="008E59B9" w:rsidP="008E59B9">
      <w:pPr>
        <w:rPr>
          <w:rFonts w:hint="cs"/>
          <w:sz w:val="28"/>
          <w:szCs w:val="28"/>
          <w:rtl/>
        </w:rPr>
      </w:pPr>
    </w:p>
    <w:p w:rsidR="008E59B9" w:rsidRPr="009D4AA4" w:rsidRDefault="003366B1" w:rsidP="008E59B9">
      <w:pPr>
        <w:spacing w:line="240" w:lineRule="auto"/>
        <w:rPr>
          <w:rFonts w:ascii="Times New Roman" w:hAnsi="Times New Roman" w:cs="Times New Roman"/>
          <w:sz w:val="28"/>
          <w:szCs w:val="28"/>
          <w:rtl/>
        </w:rPr>
      </w:pPr>
      <w:r w:rsidRPr="009D4AA4">
        <w:rPr>
          <w:rFonts w:ascii="Times New Roman" w:hAnsi="Times New Roman" w:cs="Times New Roman" w:hint="cs"/>
          <w:sz w:val="28"/>
          <w:szCs w:val="28"/>
          <w:rtl/>
        </w:rPr>
        <w:t>3</w:t>
      </w:r>
      <w:r w:rsidR="009660AF" w:rsidRPr="009D4AA4">
        <w:rPr>
          <w:rFonts w:ascii="Times New Roman" w:hAnsi="Times New Roman" w:cs="Times New Roman" w:hint="cs"/>
          <w:sz w:val="28"/>
          <w:szCs w:val="28"/>
          <w:rtl/>
        </w:rPr>
        <w:t>.</w:t>
      </w:r>
      <w:r w:rsidR="008E59B9" w:rsidRPr="009D4AA4">
        <w:rPr>
          <w:rFonts w:ascii="Times New Roman" w:hAnsi="Times New Roman" w:cs="Times New Roman" w:hint="cs"/>
          <w:sz w:val="28"/>
          <w:szCs w:val="28"/>
          <w:rtl/>
        </w:rPr>
        <w:t xml:space="preserve"> התפתחות מוסד הנזירות: מצרים.</w:t>
      </w:r>
    </w:p>
    <w:p w:rsidR="008E59B9" w:rsidRPr="009D4AA4" w:rsidRDefault="008E59B9" w:rsidP="008E59B9">
      <w:pPr>
        <w:bidi w:val="0"/>
        <w:spacing w:line="240" w:lineRule="auto"/>
        <w:rPr>
          <w:rFonts w:ascii="Times New Roman" w:hAnsi="Times New Roman" w:cs="Times New Roman"/>
          <w:sz w:val="28"/>
          <w:szCs w:val="28"/>
        </w:rPr>
      </w:pPr>
      <w:proofErr w:type="gramStart"/>
      <w:r w:rsidRPr="009D4AA4">
        <w:rPr>
          <w:rFonts w:ascii="Times New Roman" w:hAnsi="Times New Roman" w:cs="Times New Roman"/>
          <w:sz w:val="28"/>
          <w:szCs w:val="28"/>
        </w:rPr>
        <w:t xml:space="preserve">Otto F. A. </w:t>
      </w:r>
      <w:proofErr w:type="spellStart"/>
      <w:r w:rsidRPr="009D4AA4">
        <w:rPr>
          <w:rFonts w:ascii="Times New Roman" w:hAnsi="Times New Roman" w:cs="Times New Roman"/>
          <w:sz w:val="28"/>
          <w:szCs w:val="28"/>
        </w:rPr>
        <w:t>Meinardus</w:t>
      </w:r>
      <w:proofErr w:type="spellEnd"/>
      <w:r w:rsidRPr="009D4AA4">
        <w:rPr>
          <w:rFonts w:ascii="Times New Roman" w:hAnsi="Times New Roman" w:cs="Times New Roman"/>
          <w:sz w:val="28"/>
          <w:szCs w:val="28"/>
        </w:rPr>
        <w:t xml:space="preserve">, </w:t>
      </w:r>
      <w:r w:rsidRPr="009D4AA4">
        <w:rPr>
          <w:rFonts w:ascii="Times New Roman" w:hAnsi="Times New Roman" w:cs="Times New Roman"/>
          <w:i/>
          <w:iCs/>
          <w:sz w:val="28"/>
          <w:szCs w:val="28"/>
        </w:rPr>
        <w:t>Monks and Monasteries of the Egyptian Deserts</w:t>
      </w:r>
      <w:r w:rsidRPr="009D4AA4">
        <w:rPr>
          <w:rFonts w:ascii="Times New Roman" w:hAnsi="Times New Roman" w:cs="Times New Roman"/>
          <w:sz w:val="28"/>
          <w:szCs w:val="28"/>
        </w:rPr>
        <w:t>, Cairo, 1961.</w:t>
      </w:r>
      <w:proofErr w:type="gramEnd"/>
    </w:p>
    <w:p w:rsidR="008E59B9" w:rsidRPr="009D4AA4" w:rsidRDefault="008E59B9" w:rsidP="008E59B9">
      <w:pPr>
        <w:rPr>
          <w:rFonts w:hint="cs"/>
          <w:sz w:val="28"/>
          <w:szCs w:val="28"/>
          <w:rtl/>
        </w:rPr>
      </w:pPr>
    </w:p>
    <w:p w:rsidR="009660AF" w:rsidRPr="009D4AA4" w:rsidRDefault="003366B1" w:rsidP="009660AF">
      <w:pPr>
        <w:rPr>
          <w:sz w:val="28"/>
          <w:szCs w:val="28"/>
          <w:rtl/>
        </w:rPr>
      </w:pPr>
      <w:r w:rsidRPr="009D4AA4">
        <w:rPr>
          <w:rFonts w:hint="cs"/>
          <w:sz w:val="28"/>
          <w:szCs w:val="28"/>
          <w:rtl/>
        </w:rPr>
        <w:t>4</w:t>
      </w:r>
      <w:r w:rsidR="009660AF" w:rsidRPr="009D4AA4">
        <w:rPr>
          <w:rFonts w:hint="cs"/>
          <w:sz w:val="28"/>
          <w:szCs w:val="28"/>
          <w:rtl/>
        </w:rPr>
        <w:t>. התפתחות הנזירות הסורית:</w:t>
      </w:r>
    </w:p>
    <w:p w:rsidR="009660AF" w:rsidRPr="009D4AA4" w:rsidRDefault="009660AF" w:rsidP="009660AF">
      <w:pPr>
        <w:bidi w:val="0"/>
        <w:rPr>
          <w:rFonts w:asciiTheme="majorBidi" w:hAnsiTheme="majorBidi" w:cstheme="majorBidi"/>
          <w:sz w:val="28"/>
          <w:szCs w:val="28"/>
        </w:rPr>
      </w:pPr>
      <w:r w:rsidRPr="009D4AA4">
        <w:rPr>
          <w:rFonts w:asciiTheme="majorBidi" w:hAnsiTheme="majorBidi" w:cstheme="majorBidi"/>
          <w:sz w:val="28"/>
          <w:szCs w:val="28"/>
        </w:rPr>
        <w:lastRenderedPageBreak/>
        <w:t>Sebastian Brock "</w:t>
      </w:r>
      <w:r w:rsidRPr="009D4AA4">
        <w:rPr>
          <w:rFonts w:asciiTheme="majorBidi" w:eastAsia="Times New Roman" w:hAnsiTheme="majorBidi" w:cstheme="majorBidi"/>
          <w:color w:val="000000"/>
          <w:sz w:val="28"/>
          <w:szCs w:val="28"/>
        </w:rPr>
        <w:t xml:space="preserve">Crossing the boundaries: an ecumenical role played by </w:t>
      </w:r>
      <w:proofErr w:type="spellStart"/>
      <w:r w:rsidRPr="009D4AA4">
        <w:rPr>
          <w:rFonts w:asciiTheme="majorBidi" w:eastAsia="Times New Roman" w:hAnsiTheme="majorBidi" w:cstheme="majorBidi"/>
          <w:color w:val="000000"/>
          <w:sz w:val="28"/>
          <w:szCs w:val="28"/>
        </w:rPr>
        <w:t>Syriac</w:t>
      </w:r>
      <w:proofErr w:type="spellEnd"/>
      <w:r w:rsidRPr="009D4AA4">
        <w:rPr>
          <w:rFonts w:asciiTheme="majorBidi" w:eastAsia="Times New Roman" w:hAnsiTheme="majorBidi" w:cstheme="majorBidi"/>
          <w:color w:val="000000"/>
          <w:sz w:val="28"/>
          <w:szCs w:val="28"/>
        </w:rPr>
        <w:t xml:space="preserve"> monastic literature, in M. </w:t>
      </w:r>
      <w:proofErr w:type="spellStart"/>
      <w:r w:rsidRPr="009D4AA4">
        <w:rPr>
          <w:rFonts w:asciiTheme="majorBidi" w:eastAsia="Times New Roman" w:hAnsiTheme="majorBidi" w:cstheme="majorBidi"/>
          <w:color w:val="000000"/>
          <w:sz w:val="28"/>
          <w:szCs w:val="28"/>
        </w:rPr>
        <w:t>Bielawski</w:t>
      </w:r>
      <w:proofErr w:type="spellEnd"/>
      <w:r w:rsidRPr="009D4AA4">
        <w:rPr>
          <w:rFonts w:asciiTheme="majorBidi" w:eastAsia="Times New Roman" w:hAnsiTheme="majorBidi" w:cstheme="majorBidi"/>
          <w:color w:val="000000"/>
          <w:sz w:val="28"/>
          <w:szCs w:val="28"/>
        </w:rPr>
        <w:t xml:space="preserve"> and D. </w:t>
      </w:r>
      <w:proofErr w:type="spellStart"/>
      <w:r w:rsidRPr="009D4AA4">
        <w:rPr>
          <w:rFonts w:asciiTheme="majorBidi" w:eastAsia="Times New Roman" w:hAnsiTheme="majorBidi" w:cstheme="majorBidi"/>
          <w:color w:val="000000"/>
          <w:sz w:val="28"/>
          <w:szCs w:val="28"/>
        </w:rPr>
        <w:t>Hombergen</w:t>
      </w:r>
      <w:proofErr w:type="spellEnd"/>
      <w:r w:rsidRPr="009D4AA4">
        <w:rPr>
          <w:rFonts w:asciiTheme="majorBidi" w:eastAsia="Times New Roman" w:hAnsiTheme="majorBidi" w:cstheme="majorBidi"/>
          <w:color w:val="000000"/>
          <w:sz w:val="28"/>
          <w:szCs w:val="28"/>
        </w:rPr>
        <w:t xml:space="preserve"> (</w:t>
      </w:r>
      <w:proofErr w:type="spellStart"/>
      <w:proofErr w:type="gramStart"/>
      <w:r w:rsidRPr="009D4AA4">
        <w:rPr>
          <w:rFonts w:asciiTheme="majorBidi" w:eastAsia="Times New Roman" w:hAnsiTheme="majorBidi" w:cstheme="majorBidi"/>
          <w:color w:val="000000"/>
          <w:sz w:val="28"/>
          <w:szCs w:val="28"/>
        </w:rPr>
        <w:t>eds</w:t>
      </w:r>
      <w:proofErr w:type="spellEnd"/>
      <w:proofErr w:type="gramEnd"/>
      <w:r w:rsidRPr="009D4AA4">
        <w:rPr>
          <w:rFonts w:asciiTheme="majorBidi" w:eastAsia="Times New Roman" w:hAnsiTheme="majorBidi" w:cstheme="majorBidi"/>
          <w:color w:val="000000"/>
          <w:sz w:val="28"/>
          <w:szCs w:val="28"/>
        </w:rPr>
        <w:t>), </w:t>
      </w:r>
      <w:r w:rsidRPr="009D4AA4">
        <w:rPr>
          <w:rFonts w:asciiTheme="majorBidi" w:eastAsia="Times New Roman" w:hAnsiTheme="majorBidi" w:cstheme="majorBidi"/>
          <w:i/>
          <w:iCs/>
          <w:color w:val="000000"/>
          <w:sz w:val="28"/>
          <w:szCs w:val="28"/>
        </w:rPr>
        <w:t xml:space="preserve">Il </w:t>
      </w:r>
      <w:proofErr w:type="spellStart"/>
      <w:r w:rsidRPr="009D4AA4">
        <w:rPr>
          <w:rFonts w:asciiTheme="majorBidi" w:eastAsia="Times New Roman" w:hAnsiTheme="majorBidi" w:cstheme="majorBidi"/>
          <w:i/>
          <w:iCs/>
          <w:color w:val="000000"/>
          <w:sz w:val="28"/>
          <w:szCs w:val="28"/>
        </w:rPr>
        <w:t>monachesimo</w:t>
      </w:r>
      <w:proofErr w:type="spellEnd"/>
      <w:r w:rsidRPr="009D4AA4">
        <w:rPr>
          <w:rFonts w:asciiTheme="majorBidi" w:eastAsia="Times New Roman" w:hAnsiTheme="majorBidi" w:cstheme="majorBidi"/>
          <w:i/>
          <w:iCs/>
          <w:color w:val="000000"/>
          <w:sz w:val="28"/>
          <w:szCs w:val="28"/>
        </w:rPr>
        <w:t xml:space="preserve"> </w:t>
      </w:r>
      <w:proofErr w:type="spellStart"/>
      <w:r w:rsidRPr="009D4AA4">
        <w:rPr>
          <w:rFonts w:asciiTheme="majorBidi" w:eastAsia="Times New Roman" w:hAnsiTheme="majorBidi" w:cstheme="majorBidi"/>
          <w:i/>
          <w:iCs/>
          <w:color w:val="000000"/>
          <w:sz w:val="28"/>
          <w:szCs w:val="28"/>
        </w:rPr>
        <w:t>tra</w:t>
      </w:r>
      <w:proofErr w:type="spellEnd"/>
      <w:r w:rsidRPr="009D4AA4">
        <w:rPr>
          <w:rFonts w:asciiTheme="majorBidi" w:eastAsia="Times New Roman" w:hAnsiTheme="majorBidi" w:cstheme="majorBidi"/>
          <w:i/>
          <w:iCs/>
          <w:color w:val="000000"/>
          <w:sz w:val="28"/>
          <w:szCs w:val="28"/>
        </w:rPr>
        <w:t xml:space="preserve"> </w:t>
      </w:r>
      <w:proofErr w:type="spellStart"/>
      <w:r w:rsidRPr="009D4AA4">
        <w:rPr>
          <w:rFonts w:asciiTheme="majorBidi" w:eastAsia="Times New Roman" w:hAnsiTheme="majorBidi" w:cstheme="majorBidi"/>
          <w:i/>
          <w:iCs/>
          <w:color w:val="000000"/>
          <w:sz w:val="28"/>
          <w:szCs w:val="28"/>
        </w:rPr>
        <w:t>ereditá</w:t>
      </w:r>
      <w:proofErr w:type="spellEnd"/>
      <w:r w:rsidRPr="009D4AA4">
        <w:rPr>
          <w:rFonts w:asciiTheme="majorBidi" w:eastAsia="Times New Roman" w:hAnsiTheme="majorBidi" w:cstheme="majorBidi"/>
          <w:i/>
          <w:iCs/>
          <w:color w:val="000000"/>
          <w:sz w:val="28"/>
          <w:szCs w:val="28"/>
        </w:rPr>
        <w:t xml:space="preserve"> e aperture </w:t>
      </w:r>
      <w:r w:rsidRPr="009D4AA4">
        <w:rPr>
          <w:rFonts w:asciiTheme="majorBidi" w:eastAsia="Times New Roman" w:hAnsiTheme="majorBidi" w:cstheme="majorBidi"/>
          <w:color w:val="000000"/>
          <w:sz w:val="28"/>
          <w:szCs w:val="28"/>
        </w:rPr>
        <w:t>(</w:t>
      </w:r>
      <w:proofErr w:type="spellStart"/>
      <w:r w:rsidRPr="009D4AA4">
        <w:rPr>
          <w:rFonts w:asciiTheme="majorBidi" w:eastAsia="Times New Roman" w:hAnsiTheme="majorBidi" w:cstheme="majorBidi"/>
          <w:color w:val="000000"/>
          <w:sz w:val="28"/>
          <w:szCs w:val="28"/>
        </w:rPr>
        <w:t>Studia</w:t>
      </w:r>
      <w:proofErr w:type="spellEnd"/>
      <w:r w:rsidRPr="009D4AA4">
        <w:rPr>
          <w:rFonts w:asciiTheme="majorBidi" w:eastAsia="Times New Roman" w:hAnsiTheme="majorBidi" w:cstheme="majorBidi"/>
          <w:color w:val="000000"/>
          <w:sz w:val="28"/>
          <w:szCs w:val="28"/>
        </w:rPr>
        <w:t xml:space="preserve"> </w:t>
      </w:r>
      <w:proofErr w:type="spellStart"/>
      <w:r w:rsidRPr="009D4AA4">
        <w:rPr>
          <w:rFonts w:asciiTheme="majorBidi" w:eastAsia="Times New Roman" w:hAnsiTheme="majorBidi" w:cstheme="majorBidi"/>
          <w:color w:val="000000"/>
          <w:sz w:val="28"/>
          <w:szCs w:val="28"/>
        </w:rPr>
        <w:t>Anselmiana</w:t>
      </w:r>
      <w:proofErr w:type="spellEnd"/>
      <w:r w:rsidRPr="009D4AA4">
        <w:rPr>
          <w:rFonts w:asciiTheme="majorBidi" w:eastAsia="Times New Roman" w:hAnsiTheme="majorBidi" w:cstheme="majorBidi"/>
          <w:color w:val="000000"/>
          <w:sz w:val="28"/>
          <w:szCs w:val="28"/>
        </w:rPr>
        <w:t xml:space="preserve"> 140; 2004), 221-38.</w:t>
      </w:r>
    </w:p>
    <w:p w:rsidR="009660AF" w:rsidRPr="009D4AA4" w:rsidRDefault="009660AF" w:rsidP="009660AF">
      <w:pPr>
        <w:bidi w:val="0"/>
        <w:jc w:val="right"/>
        <w:rPr>
          <w:sz w:val="28"/>
          <w:szCs w:val="28"/>
        </w:rPr>
      </w:pPr>
    </w:p>
    <w:p w:rsidR="009660AF" w:rsidRPr="009D4AA4" w:rsidRDefault="003366B1" w:rsidP="009660AF">
      <w:pPr>
        <w:rPr>
          <w:sz w:val="28"/>
          <w:szCs w:val="28"/>
          <w:rtl/>
        </w:rPr>
      </w:pPr>
      <w:r w:rsidRPr="009D4AA4">
        <w:rPr>
          <w:rFonts w:hint="cs"/>
          <w:sz w:val="28"/>
          <w:szCs w:val="28"/>
          <w:rtl/>
        </w:rPr>
        <w:t>5.</w:t>
      </w:r>
      <w:r w:rsidR="009660AF" w:rsidRPr="009D4AA4">
        <w:rPr>
          <w:rFonts w:hint="cs"/>
          <w:sz w:val="28"/>
          <w:szCs w:val="28"/>
          <w:rtl/>
        </w:rPr>
        <w:t xml:space="preserve"> ארמניה:</w:t>
      </w:r>
    </w:p>
    <w:p w:rsidR="00F8177B" w:rsidRPr="009D4AA4" w:rsidRDefault="00F8177B" w:rsidP="00F8177B">
      <w:pPr>
        <w:bidi w:val="0"/>
        <w:rPr>
          <w:sz w:val="28"/>
          <w:szCs w:val="28"/>
        </w:rPr>
      </w:pPr>
      <w:r w:rsidRPr="009D4AA4">
        <w:rPr>
          <w:sz w:val="28"/>
          <w:szCs w:val="28"/>
        </w:rPr>
        <w:t xml:space="preserve">Nina G. </w:t>
      </w:r>
      <w:proofErr w:type="spellStart"/>
      <w:r w:rsidRPr="009D4AA4">
        <w:rPr>
          <w:sz w:val="28"/>
          <w:szCs w:val="28"/>
        </w:rPr>
        <w:t>Garsoian</w:t>
      </w:r>
      <w:proofErr w:type="spellEnd"/>
      <w:r w:rsidRPr="009D4AA4">
        <w:rPr>
          <w:sz w:val="28"/>
          <w:szCs w:val="28"/>
        </w:rPr>
        <w:t xml:space="preserve">, "Introduction to the Problem of Early Armenian Monasticism", in </w:t>
      </w:r>
      <w:proofErr w:type="spellStart"/>
      <w:r w:rsidRPr="009D4AA4">
        <w:rPr>
          <w:sz w:val="28"/>
          <w:szCs w:val="28"/>
        </w:rPr>
        <w:t>Garsoian</w:t>
      </w:r>
      <w:proofErr w:type="spellEnd"/>
      <w:r w:rsidRPr="009D4AA4">
        <w:rPr>
          <w:sz w:val="28"/>
          <w:szCs w:val="28"/>
        </w:rPr>
        <w:t xml:space="preserve">, </w:t>
      </w:r>
      <w:r w:rsidRPr="009D4AA4">
        <w:rPr>
          <w:i/>
          <w:iCs/>
          <w:sz w:val="28"/>
          <w:szCs w:val="28"/>
        </w:rPr>
        <w:t xml:space="preserve">Studies on the Formation of Christian Armenia, </w:t>
      </w:r>
      <w:proofErr w:type="spellStart"/>
      <w:r w:rsidRPr="009D4AA4">
        <w:rPr>
          <w:sz w:val="28"/>
          <w:szCs w:val="28"/>
        </w:rPr>
        <w:t>Ashgate</w:t>
      </w:r>
      <w:proofErr w:type="spellEnd"/>
      <w:r w:rsidRPr="009D4AA4">
        <w:rPr>
          <w:sz w:val="28"/>
          <w:szCs w:val="28"/>
        </w:rPr>
        <w:t>: Variorum, 2010, pp. 177-236.</w:t>
      </w:r>
    </w:p>
    <w:p w:rsidR="00A647FF" w:rsidRPr="009D4AA4" w:rsidRDefault="00A647FF" w:rsidP="009660AF">
      <w:pPr>
        <w:bidi w:val="0"/>
        <w:jc w:val="right"/>
        <w:rPr>
          <w:sz w:val="28"/>
          <w:szCs w:val="28"/>
        </w:rPr>
      </w:pPr>
    </w:p>
    <w:p w:rsidR="009660AF" w:rsidRPr="009D4AA4" w:rsidRDefault="003366B1" w:rsidP="009660AF">
      <w:pPr>
        <w:rPr>
          <w:sz w:val="28"/>
          <w:szCs w:val="28"/>
          <w:rtl/>
          <w:lang w:val="es-MX"/>
        </w:rPr>
      </w:pPr>
      <w:r w:rsidRPr="009D4AA4">
        <w:rPr>
          <w:rFonts w:hint="cs"/>
          <w:sz w:val="28"/>
          <w:szCs w:val="28"/>
          <w:rtl/>
          <w:lang w:val="es-MX"/>
        </w:rPr>
        <w:t>6</w:t>
      </w:r>
      <w:r w:rsidR="009660AF" w:rsidRPr="009D4AA4">
        <w:rPr>
          <w:rFonts w:hint="cs"/>
          <w:sz w:val="28"/>
          <w:szCs w:val="28"/>
          <w:rtl/>
          <w:lang w:val="es-MX"/>
        </w:rPr>
        <w:t>. אתיופיה:</w:t>
      </w:r>
    </w:p>
    <w:p w:rsidR="009660AF" w:rsidRPr="009D4AA4" w:rsidRDefault="009660AF" w:rsidP="009660AF">
      <w:pPr>
        <w:rPr>
          <w:rFonts w:hint="cs"/>
          <w:sz w:val="28"/>
          <w:szCs w:val="28"/>
          <w:rtl/>
          <w:lang w:val="es-MX"/>
        </w:rPr>
      </w:pPr>
    </w:p>
    <w:p w:rsidR="009660AF" w:rsidRPr="009D4AA4" w:rsidRDefault="009660AF" w:rsidP="009660AF">
      <w:pPr>
        <w:bidi w:val="0"/>
        <w:spacing w:line="240" w:lineRule="auto"/>
        <w:rPr>
          <w:rFonts w:ascii="Times New Roman" w:hAnsi="Times New Roman" w:cs="Times New Roman"/>
          <w:sz w:val="28"/>
          <w:szCs w:val="28"/>
        </w:rPr>
      </w:pPr>
      <w:r w:rsidRPr="009D4AA4">
        <w:rPr>
          <w:rFonts w:ascii="Times New Roman" w:hAnsi="Times New Roman" w:cs="Times New Roman"/>
          <w:sz w:val="28"/>
          <w:szCs w:val="28"/>
        </w:rPr>
        <w:t xml:space="preserve">Stuart Munro-Hay, "Saintly Shadows," in Alessandro </w:t>
      </w:r>
      <w:proofErr w:type="spellStart"/>
      <w:r w:rsidRPr="009D4AA4">
        <w:rPr>
          <w:rFonts w:ascii="Times New Roman" w:hAnsi="Times New Roman" w:cs="Times New Roman"/>
          <w:sz w:val="28"/>
          <w:szCs w:val="28"/>
        </w:rPr>
        <w:t>Bausi</w:t>
      </w:r>
      <w:proofErr w:type="spellEnd"/>
      <w:r w:rsidRPr="009D4AA4">
        <w:rPr>
          <w:rFonts w:ascii="Times New Roman" w:hAnsi="Times New Roman" w:cs="Times New Roman"/>
          <w:sz w:val="28"/>
          <w:szCs w:val="28"/>
        </w:rPr>
        <w:t xml:space="preserve"> (ed.), </w:t>
      </w:r>
      <w:r w:rsidRPr="009D4AA4">
        <w:rPr>
          <w:rFonts w:ascii="Times New Roman" w:hAnsi="Times New Roman" w:cs="Times New Roman"/>
          <w:i/>
          <w:iCs/>
          <w:sz w:val="28"/>
          <w:szCs w:val="28"/>
        </w:rPr>
        <w:t>Languages and Cultures of Eastern Christianity: Ethiopian,</w:t>
      </w:r>
      <w:r w:rsidRPr="009D4AA4">
        <w:rPr>
          <w:rFonts w:ascii="Times New Roman" w:hAnsi="Times New Roman" w:cs="Times New Roman"/>
          <w:sz w:val="28"/>
          <w:szCs w:val="28"/>
        </w:rPr>
        <w:t xml:space="preserve"> Routledge, 2012, 137-168.</w:t>
      </w:r>
    </w:p>
    <w:p w:rsidR="009660AF" w:rsidRPr="009D4AA4" w:rsidRDefault="009660AF" w:rsidP="009660AF">
      <w:pPr>
        <w:rPr>
          <w:rFonts w:hint="cs"/>
          <w:sz w:val="28"/>
          <w:szCs w:val="28"/>
        </w:rPr>
      </w:pPr>
    </w:p>
    <w:p w:rsidR="009660AF" w:rsidRPr="009D4AA4" w:rsidRDefault="009660AF" w:rsidP="009660AF">
      <w:pPr>
        <w:bidi w:val="0"/>
        <w:jc w:val="right"/>
        <w:rPr>
          <w:sz w:val="28"/>
          <w:szCs w:val="28"/>
        </w:rPr>
      </w:pPr>
    </w:p>
    <w:p w:rsidR="009660AF" w:rsidRPr="009D4AA4" w:rsidRDefault="003366B1" w:rsidP="009660AF">
      <w:pPr>
        <w:rPr>
          <w:sz w:val="28"/>
          <w:szCs w:val="28"/>
          <w:rtl/>
          <w:lang w:val="es-MX"/>
        </w:rPr>
      </w:pPr>
      <w:r w:rsidRPr="009D4AA4">
        <w:rPr>
          <w:rFonts w:hint="cs"/>
          <w:sz w:val="28"/>
          <w:szCs w:val="28"/>
          <w:rtl/>
          <w:lang w:val="es-MX"/>
        </w:rPr>
        <w:t>7</w:t>
      </w:r>
      <w:r w:rsidR="009660AF" w:rsidRPr="009D4AA4">
        <w:rPr>
          <w:rFonts w:hint="cs"/>
          <w:sz w:val="28"/>
          <w:szCs w:val="28"/>
          <w:rtl/>
          <w:lang w:val="es-MX"/>
        </w:rPr>
        <w:t xml:space="preserve">. תפקידו של הנזיר כמתווך </w:t>
      </w:r>
    </w:p>
    <w:p w:rsidR="00A647FF" w:rsidRPr="009D4AA4" w:rsidRDefault="008E59B9" w:rsidP="00A647FF">
      <w:pPr>
        <w:bidi w:val="0"/>
        <w:rPr>
          <w:sz w:val="28"/>
          <w:szCs w:val="28"/>
        </w:rPr>
      </w:pPr>
      <w:r w:rsidRPr="009D4AA4">
        <w:rPr>
          <w:sz w:val="28"/>
          <w:szCs w:val="28"/>
        </w:rPr>
        <w:t xml:space="preserve">Steven Kaplan, </w:t>
      </w:r>
      <w:proofErr w:type="gramStart"/>
      <w:r w:rsidR="00A647FF" w:rsidRPr="009D4AA4">
        <w:rPr>
          <w:i/>
          <w:iCs/>
          <w:sz w:val="28"/>
          <w:szCs w:val="28"/>
        </w:rPr>
        <w:t>The</w:t>
      </w:r>
      <w:proofErr w:type="gramEnd"/>
      <w:r w:rsidR="00A647FF" w:rsidRPr="009D4AA4">
        <w:rPr>
          <w:i/>
          <w:iCs/>
          <w:sz w:val="28"/>
          <w:szCs w:val="28"/>
        </w:rPr>
        <w:t xml:space="preserve"> Monastic Holy Man and the Christianization of Early </w:t>
      </w:r>
      <w:proofErr w:type="spellStart"/>
      <w:r w:rsidR="00A647FF" w:rsidRPr="009D4AA4">
        <w:rPr>
          <w:i/>
          <w:iCs/>
          <w:sz w:val="28"/>
          <w:szCs w:val="28"/>
        </w:rPr>
        <w:t>Solomonic</w:t>
      </w:r>
      <w:proofErr w:type="spellEnd"/>
      <w:r w:rsidR="00A647FF" w:rsidRPr="009D4AA4">
        <w:rPr>
          <w:sz w:val="28"/>
          <w:szCs w:val="28"/>
        </w:rPr>
        <w:t xml:space="preserve"> </w:t>
      </w:r>
      <w:r w:rsidR="00A647FF" w:rsidRPr="009D4AA4">
        <w:rPr>
          <w:i/>
          <w:iCs/>
          <w:sz w:val="28"/>
          <w:szCs w:val="28"/>
        </w:rPr>
        <w:t>Ethiopia</w:t>
      </w:r>
      <w:r w:rsidR="00A647FF" w:rsidRPr="009D4AA4">
        <w:rPr>
          <w:sz w:val="28"/>
          <w:szCs w:val="28"/>
        </w:rPr>
        <w:t>, Wies</w:t>
      </w:r>
      <w:r w:rsidR="009660AF" w:rsidRPr="009D4AA4">
        <w:rPr>
          <w:sz w:val="28"/>
          <w:szCs w:val="28"/>
        </w:rPr>
        <w:t xml:space="preserve">baden: Franz Steiner, 1984 pp. </w:t>
      </w:r>
      <w:r w:rsidR="00A647FF" w:rsidRPr="009D4AA4">
        <w:rPr>
          <w:sz w:val="28"/>
          <w:szCs w:val="28"/>
        </w:rPr>
        <w:t>70-90.</w:t>
      </w:r>
    </w:p>
    <w:p w:rsidR="009660AF" w:rsidRPr="009D4AA4" w:rsidRDefault="009660AF" w:rsidP="009660AF">
      <w:pPr>
        <w:bidi w:val="0"/>
        <w:rPr>
          <w:sz w:val="28"/>
          <w:szCs w:val="28"/>
        </w:rPr>
      </w:pPr>
    </w:p>
    <w:p w:rsidR="009660AF" w:rsidRPr="009D4AA4" w:rsidRDefault="008E146E" w:rsidP="008E146E">
      <w:pPr>
        <w:rPr>
          <w:sz w:val="28"/>
          <w:szCs w:val="28"/>
          <w:rtl/>
          <w:lang w:val="es-MX"/>
        </w:rPr>
      </w:pPr>
      <w:r w:rsidRPr="009D4AA4">
        <w:rPr>
          <w:rFonts w:hint="cs"/>
          <w:sz w:val="28"/>
          <w:szCs w:val="28"/>
          <w:rtl/>
          <w:lang w:val="es-MX"/>
        </w:rPr>
        <w:t>8</w:t>
      </w:r>
      <w:r w:rsidR="00E805D9" w:rsidRPr="009D4AA4">
        <w:rPr>
          <w:rFonts w:hint="cs"/>
          <w:sz w:val="28"/>
          <w:szCs w:val="28"/>
          <w:rtl/>
          <w:lang w:val="es-MX"/>
        </w:rPr>
        <w:t>. מנזרים וקונטקסט תרבותי:</w:t>
      </w:r>
    </w:p>
    <w:p w:rsidR="00E805D9" w:rsidRPr="009D4AA4" w:rsidRDefault="00E805D9" w:rsidP="00E805D9">
      <w:pPr>
        <w:bidi w:val="0"/>
        <w:rPr>
          <w:sz w:val="28"/>
          <w:szCs w:val="28"/>
        </w:rPr>
      </w:pPr>
      <w:r w:rsidRPr="009D4AA4">
        <w:rPr>
          <w:sz w:val="28"/>
          <w:szCs w:val="28"/>
        </w:rPr>
        <w:t xml:space="preserve">Joachim </w:t>
      </w:r>
      <w:proofErr w:type="spellStart"/>
      <w:r w:rsidRPr="009D4AA4">
        <w:rPr>
          <w:sz w:val="28"/>
          <w:szCs w:val="28"/>
        </w:rPr>
        <w:t>Persoon</w:t>
      </w:r>
      <w:proofErr w:type="spellEnd"/>
      <w:r w:rsidRPr="009D4AA4">
        <w:rPr>
          <w:sz w:val="28"/>
          <w:szCs w:val="28"/>
        </w:rPr>
        <w:t xml:space="preserve">, "The Monastery as a Nexus of Ethiopian Culture: a Discourse of Reconstruction," in </w:t>
      </w:r>
      <w:proofErr w:type="spellStart"/>
      <w:r w:rsidRPr="009D4AA4">
        <w:rPr>
          <w:sz w:val="28"/>
          <w:szCs w:val="28"/>
        </w:rPr>
        <w:t>Siegbert</w:t>
      </w:r>
      <w:proofErr w:type="spellEnd"/>
      <w:r w:rsidRPr="009D4AA4">
        <w:rPr>
          <w:sz w:val="28"/>
          <w:szCs w:val="28"/>
        </w:rPr>
        <w:t xml:space="preserve"> </w:t>
      </w:r>
      <w:proofErr w:type="spellStart"/>
      <w:r w:rsidRPr="009D4AA4">
        <w:rPr>
          <w:sz w:val="28"/>
          <w:szCs w:val="28"/>
        </w:rPr>
        <w:t>Uhlig</w:t>
      </w:r>
      <w:proofErr w:type="spellEnd"/>
      <w:r w:rsidRPr="009D4AA4">
        <w:rPr>
          <w:sz w:val="28"/>
          <w:szCs w:val="28"/>
        </w:rPr>
        <w:t xml:space="preserve"> (ed.) </w:t>
      </w:r>
      <w:r w:rsidRPr="009D4AA4">
        <w:rPr>
          <w:i/>
          <w:iCs/>
          <w:sz w:val="28"/>
          <w:szCs w:val="28"/>
        </w:rPr>
        <w:t xml:space="preserve">Proceedings of the </w:t>
      </w:r>
      <w:proofErr w:type="spellStart"/>
      <w:r w:rsidRPr="009D4AA4">
        <w:rPr>
          <w:i/>
          <w:iCs/>
          <w:sz w:val="28"/>
          <w:szCs w:val="28"/>
        </w:rPr>
        <w:t>XVth</w:t>
      </w:r>
      <w:proofErr w:type="spellEnd"/>
      <w:r w:rsidRPr="009D4AA4">
        <w:rPr>
          <w:i/>
          <w:iCs/>
          <w:sz w:val="28"/>
          <w:szCs w:val="28"/>
        </w:rPr>
        <w:t xml:space="preserve"> International Conference of Ethiopian Studies. Hamburg, July 20-25, 2003, </w:t>
      </w:r>
      <w:r w:rsidRPr="009D4AA4">
        <w:rPr>
          <w:sz w:val="28"/>
          <w:szCs w:val="28"/>
        </w:rPr>
        <w:t xml:space="preserve">Wiesbaden: </w:t>
      </w:r>
      <w:proofErr w:type="spellStart"/>
      <w:r w:rsidRPr="009D4AA4">
        <w:rPr>
          <w:sz w:val="28"/>
          <w:szCs w:val="28"/>
        </w:rPr>
        <w:t>Harrassowitz</w:t>
      </w:r>
      <w:proofErr w:type="spellEnd"/>
      <w:r w:rsidRPr="009D4AA4">
        <w:rPr>
          <w:sz w:val="28"/>
          <w:szCs w:val="28"/>
        </w:rPr>
        <w:t>, 2006, pp. 679-688.</w:t>
      </w:r>
    </w:p>
    <w:p w:rsidR="00E805D9" w:rsidRPr="009D4AA4" w:rsidRDefault="00E805D9" w:rsidP="00E805D9">
      <w:pPr>
        <w:rPr>
          <w:rFonts w:hint="cs"/>
          <w:sz w:val="28"/>
          <w:szCs w:val="28"/>
          <w:rtl/>
        </w:rPr>
      </w:pPr>
    </w:p>
    <w:p w:rsidR="003366B1" w:rsidRPr="009D4AA4" w:rsidRDefault="008E146E" w:rsidP="00E805D9">
      <w:pPr>
        <w:rPr>
          <w:sz w:val="28"/>
          <w:szCs w:val="28"/>
          <w:rtl/>
        </w:rPr>
      </w:pPr>
      <w:r w:rsidRPr="009D4AA4">
        <w:rPr>
          <w:rFonts w:hint="cs"/>
          <w:sz w:val="28"/>
          <w:szCs w:val="28"/>
          <w:rtl/>
        </w:rPr>
        <w:t>9</w:t>
      </w:r>
      <w:r w:rsidR="003366B1" w:rsidRPr="009D4AA4">
        <w:rPr>
          <w:rFonts w:hint="cs"/>
          <w:sz w:val="28"/>
          <w:szCs w:val="28"/>
          <w:rtl/>
        </w:rPr>
        <w:t xml:space="preserve"> . נזירות</w:t>
      </w:r>
    </w:p>
    <w:p w:rsidR="003366B1" w:rsidRPr="009D4AA4" w:rsidRDefault="003366B1" w:rsidP="00E805D9">
      <w:pPr>
        <w:rPr>
          <w:rFonts w:hint="cs"/>
          <w:sz w:val="28"/>
          <w:szCs w:val="28"/>
          <w:rtl/>
        </w:rPr>
      </w:pPr>
    </w:p>
    <w:p w:rsidR="003366B1" w:rsidRPr="009D4AA4" w:rsidRDefault="003366B1" w:rsidP="003366B1">
      <w:pPr>
        <w:bidi w:val="0"/>
        <w:rPr>
          <w:sz w:val="28"/>
          <w:szCs w:val="28"/>
        </w:rPr>
      </w:pPr>
      <w:proofErr w:type="spellStart"/>
      <w:r w:rsidRPr="009D4AA4">
        <w:rPr>
          <w:sz w:val="28"/>
          <w:szCs w:val="28"/>
        </w:rPr>
        <w:t>Heleen</w:t>
      </w:r>
      <w:proofErr w:type="spellEnd"/>
      <w:r w:rsidRPr="009D4AA4">
        <w:rPr>
          <w:sz w:val="28"/>
          <w:szCs w:val="28"/>
        </w:rPr>
        <w:t xml:space="preserve"> </w:t>
      </w:r>
      <w:proofErr w:type="spellStart"/>
      <w:r w:rsidRPr="009D4AA4">
        <w:rPr>
          <w:sz w:val="28"/>
          <w:szCs w:val="28"/>
        </w:rPr>
        <w:t>Murre</w:t>
      </w:r>
      <w:proofErr w:type="spellEnd"/>
      <w:r w:rsidRPr="009D4AA4">
        <w:rPr>
          <w:sz w:val="28"/>
          <w:szCs w:val="28"/>
        </w:rPr>
        <w:t xml:space="preserve">-Van den Berg, “Generous Devotion: Women in the Church of the East between 1550 and 1850,” </w:t>
      </w:r>
      <w:proofErr w:type="spellStart"/>
      <w:r w:rsidRPr="009D4AA4">
        <w:rPr>
          <w:i/>
          <w:iCs/>
          <w:sz w:val="28"/>
          <w:szCs w:val="28"/>
        </w:rPr>
        <w:t>Hugoye</w:t>
      </w:r>
      <w:proofErr w:type="spellEnd"/>
      <w:r w:rsidRPr="009D4AA4">
        <w:rPr>
          <w:i/>
          <w:iCs/>
          <w:sz w:val="28"/>
          <w:szCs w:val="28"/>
        </w:rPr>
        <w:t xml:space="preserve">: Journal of </w:t>
      </w:r>
      <w:proofErr w:type="spellStart"/>
      <w:r w:rsidRPr="009D4AA4">
        <w:rPr>
          <w:i/>
          <w:iCs/>
          <w:sz w:val="28"/>
          <w:szCs w:val="28"/>
        </w:rPr>
        <w:t>Syriac</w:t>
      </w:r>
      <w:proofErr w:type="spellEnd"/>
      <w:r w:rsidRPr="009D4AA4">
        <w:rPr>
          <w:i/>
          <w:iCs/>
          <w:sz w:val="28"/>
          <w:szCs w:val="28"/>
        </w:rPr>
        <w:t xml:space="preserve"> Studies</w:t>
      </w:r>
      <w:r w:rsidRPr="009D4AA4">
        <w:rPr>
          <w:sz w:val="28"/>
          <w:szCs w:val="28"/>
        </w:rPr>
        <w:t xml:space="preserve"> 7/1 (2004): 11-54.</w:t>
      </w:r>
    </w:p>
    <w:p w:rsidR="003366B1" w:rsidRPr="009D4AA4" w:rsidRDefault="003366B1" w:rsidP="003366B1">
      <w:pPr>
        <w:autoSpaceDE w:val="0"/>
        <w:autoSpaceDN w:val="0"/>
        <w:bidi w:val="0"/>
        <w:adjustRightInd w:val="0"/>
        <w:rPr>
          <w:sz w:val="28"/>
          <w:szCs w:val="28"/>
        </w:rPr>
      </w:pPr>
      <w:r w:rsidRPr="009D4AA4">
        <w:rPr>
          <w:sz w:val="28"/>
          <w:szCs w:val="28"/>
        </w:rPr>
        <w:t xml:space="preserve">Wendy Laura Belcher, “Sisters Debating the Jesuits: The Role of African Women in Defeating Portuguese Proto-Colonialism in Seventeenth-Century Abyssinia,” </w:t>
      </w:r>
      <w:r w:rsidRPr="009D4AA4">
        <w:rPr>
          <w:i/>
          <w:iCs/>
          <w:sz w:val="28"/>
          <w:szCs w:val="28"/>
        </w:rPr>
        <w:t>Northeast African Studies</w:t>
      </w:r>
      <w:r w:rsidRPr="009D4AA4">
        <w:rPr>
          <w:sz w:val="28"/>
          <w:szCs w:val="28"/>
        </w:rPr>
        <w:t xml:space="preserve"> 13/1 (2013): 121-166.</w:t>
      </w:r>
    </w:p>
    <w:p w:rsidR="003366B1" w:rsidRPr="009D4AA4" w:rsidRDefault="008E146E" w:rsidP="008E146E">
      <w:pPr>
        <w:rPr>
          <w:sz w:val="28"/>
          <w:szCs w:val="28"/>
          <w:rtl/>
          <w:lang w:val="es-MX"/>
        </w:rPr>
      </w:pPr>
      <w:r w:rsidRPr="009D4AA4">
        <w:rPr>
          <w:rFonts w:hint="cs"/>
          <w:sz w:val="28"/>
          <w:szCs w:val="28"/>
          <w:rtl/>
          <w:lang w:val="es-MX"/>
        </w:rPr>
        <w:t>10 .סגפנות והתאבדות:</w:t>
      </w:r>
    </w:p>
    <w:p w:rsidR="008E146E" w:rsidRPr="009D4AA4" w:rsidRDefault="008E146E" w:rsidP="008E146E">
      <w:pPr>
        <w:bidi w:val="0"/>
        <w:rPr>
          <w:sz w:val="28"/>
          <w:szCs w:val="28"/>
        </w:rPr>
      </w:pPr>
      <w:r w:rsidRPr="009D4AA4">
        <w:rPr>
          <w:sz w:val="28"/>
          <w:szCs w:val="28"/>
        </w:rPr>
        <w:t xml:space="preserve">Dmitry </w:t>
      </w:r>
      <w:proofErr w:type="spellStart"/>
      <w:r w:rsidRPr="009D4AA4">
        <w:rPr>
          <w:sz w:val="28"/>
          <w:szCs w:val="28"/>
        </w:rPr>
        <w:t>Bumazhnov</w:t>
      </w:r>
      <w:proofErr w:type="spellEnd"/>
      <w:r w:rsidRPr="009D4AA4">
        <w:rPr>
          <w:sz w:val="28"/>
          <w:szCs w:val="28"/>
        </w:rPr>
        <w:t xml:space="preserve">, "Ascetic Suicides in the Vita of St. Paul of </w:t>
      </w:r>
      <w:proofErr w:type="spellStart"/>
      <w:r w:rsidRPr="009D4AA4">
        <w:rPr>
          <w:sz w:val="28"/>
          <w:szCs w:val="28"/>
        </w:rPr>
        <w:t>Tamma</w:t>
      </w:r>
      <w:proofErr w:type="spellEnd"/>
      <w:r w:rsidRPr="009D4AA4">
        <w:rPr>
          <w:sz w:val="28"/>
          <w:szCs w:val="28"/>
        </w:rPr>
        <w:t xml:space="preserve">: an Egyptian Drama and its Ethiopian Continuation," in Denis </w:t>
      </w:r>
      <w:proofErr w:type="spellStart"/>
      <w:r w:rsidRPr="009D4AA4">
        <w:rPr>
          <w:sz w:val="28"/>
          <w:szCs w:val="28"/>
        </w:rPr>
        <w:t>Nosnitsin</w:t>
      </w:r>
      <w:proofErr w:type="spellEnd"/>
      <w:r w:rsidRPr="009D4AA4">
        <w:rPr>
          <w:sz w:val="28"/>
          <w:szCs w:val="28"/>
        </w:rPr>
        <w:t xml:space="preserve"> (</w:t>
      </w:r>
      <w:proofErr w:type="spellStart"/>
      <w:proofErr w:type="gramStart"/>
      <w:r w:rsidRPr="009D4AA4">
        <w:rPr>
          <w:sz w:val="28"/>
          <w:szCs w:val="28"/>
        </w:rPr>
        <w:t>ed</w:t>
      </w:r>
      <w:proofErr w:type="spellEnd"/>
      <w:proofErr w:type="gramEnd"/>
      <w:r w:rsidRPr="009D4AA4">
        <w:rPr>
          <w:sz w:val="28"/>
          <w:szCs w:val="28"/>
        </w:rPr>
        <w:t xml:space="preserve">). </w:t>
      </w:r>
      <w:r w:rsidRPr="009D4AA4">
        <w:rPr>
          <w:i/>
          <w:iCs/>
          <w:sz w:val="28"/>
          <w:szCs w:val="28"/>
        </w:rPr>
        <w:t>Veneration of Saints in Christian Ethiopia</w:t>
      </w:r>
      <w:r w:rsidRPr="009D4AA4">
        <w:rPr>
          <w:sz w:val="28"/>
          <w:szCs w:val="28"/>
        </w:rPr>
        <w:t xml:space="preserve">, Wiesbaden: </w:t>
      </w:r>
      <w:proofErr w:type="spellStart"/>
      <w:r w:rsidRPr="009D4AA4">
        <w:rPr>
          <w:sz w:val="28"/>
          <w:szCs w:val="28"/>
        </w:rPr>
        <w:t>Harrassowitz</w:t>
      </w:r>
      <w:proofErr w:type="spellEnd"/>
      <w:r w:rsidRPr="009D4AA4">
        <w:rPr>
          <w:sz w:val="28"/>
          <w:szCs w:val="28"/>
        </w:rPr>
        <w:t xml:space="preserve"> </w:t>
      </w:r>
      <w:proofErr w:type="spellStart"/>
      <w:r w:rsidRPr="009D4AA4">
        <w:rPr>
          <w:sz w:val="28"/>
          <w:szCs w:val="28"/>
        </w:rPr>
        <w:t>Verlag</w:t>
      </w:r>
      <w:proofErr w:type="spellEnd"/>
      <w:r w:rsidRPr="009D4AA4">
        <w:rPr>
          <w:sz w:val="28"/>
          <w:szCs w:val="28"/>
        </w:rPr>
        <w:t>, 2015, p. 1-14.</w:t>
      </w:r>
    </w:p>
    <w:p w:rsidR="008E146E" w:rsidRPr="009D4AA4" w:rsidRDefault="008E146E" w:rsidP="008E146E">
      <w:pPr>
        <w:rPr>
          <w:rFonts w:hint="cs"/>
          <w:sz w:val="28"/>
          <w:szCs w:val="28"/>
          <w:rtl/>
          <w:lang w:val="es-MX"/>
        </w:rPr>
      </w:pPr>
    </w:p>
    <w:p w:rsidR="00E805D9" w:rsidRPr="009D4AA4" w:rsidRDefault="0031727E" w:rsidP="00E805D9">
      <w:pPr>
        <w:rPr>
          <w:sz w:val="28"/>
          <w:szCs w:val="28"/>
          <w:rtl/>
        </w:rPr>
      </w:pPr>
      <w:r w:rsidRPr="009D4AA4">
        <w:rPr>
          <w:rFonts w:hint="cs"/>
          <w:sz w:val="28"/>
          <w:szCs w:val="28"/>
          <w:rtl/>
        </w:rPr>
        <w:t>11</w:t>
      </w:r>
      <w:r w:rsidR="00E805D9" w:rsidRPr="009D4AA4">
        <w:rPr>
          <w:rFonts w:hint="cs"/>
          <w:sz w:val="28"/>
          <w:szCs w:val="28"/>
          <w:rtl/>
        </w:rPr>
        <w:t>. המדבר והעיר.</w:t>
      </w:r>
    </w:p>
    <w:p w:rsidR="00E805D9" w:rsidRPr="009D4AA4" w:rsidRDefault="00E805D9" w:rsidP="00E805D9">
      <w:pPr>
        <w:bidi w:val="0"/>
        <w:rPr>
          <w:sz w:val="28"/>
          <w:szCs w:val="28"/>
        </w:rPr>
      </w:pPr>
      <w:r w:rsidRPr="009D4AA4">
        <w:rPr>
          <w:sz w:val="28"/>
          <w:szCs w:val="28"/>
        </w:rPr>
        <w:t xml:space="preserve">M. F. Gruber, "Coping with God: Coping Monasticism in Egyptian Culture," in N. Van </w:t>
      </w:r>
      <w:proofErr w:type="spellStart"/>
      <w:r w:rsidRPr="009D4AA4">
        <w:rPr>
          <w:sz w:val="28"/>
          <w:szCs w:val="28"/>
        </w:rPr>
        <w:t>Doorn</w:t>
      </w:r>
      <w:proofErr w:type="spellEnd"/>
      <w:r w:rsidRPr="009D4AA4">
        <w:rPr>
          <w:sz w:val="28"/>
          <w:szCs w:val="28"/>
        </w:rPr>
        <w:t xml:space="preserve">-Harder – K. Vogt (eds.), </w:t>
      </w:r>
      <w:r w:rsidRPr="009D4AA4">
        <w:rPr>
          <w:i/>
          <w:iCs/>
          <w:sz w:val="28"/>
          <w:szCs w:val="28"/>
        </w:rPr>
        <w:t xml:space="preserve">Between Desert and City: The Coptic Orthodox Church Today, </w:t>
      </w:r>
      <w:r w:rsidRPr="009D4AA4">
        <w:rPr>
          <w:sz w:val="28"/>
          <w:szCs w:val="28"/>
        </w:rPr>
        <w:t xml:space="preserve">Novus </w:t>
      </w:r>
      <w:proofErr w:type="spellStart"/>
      <w:r w:rsidRPr="009D4AA4">
        <w:rPr>
          <w:sz w:val="28"/>
          <w:szCs w:val="28"/>
        </w:rPr>
        <w:t>Forlag</w:t>
      </w:r>
      <w:proofErr w:type="spellEnd"/>
      <w:r w:rsidRPr="009D4AA4">
        <w:rPr>
          <w:sz w:val="28"/>
          <w:szCs w:val="28"/>
        </w:rPr>
        <w:t xml:space="preserve"> – </w:t>
      </w:r>
      <w:proofErr w:type="spellStart"/>
      <w:r w:rsidRPr="009D4AA4">
        <w:rPr>
          <w:sz w:val="28"/>
          <w:szCs w:val="28"/>
        </w:rPr>
        <w:t>Instituttet</w:t>
      </w:r>
      <w:proofErr w:type="spellEnd"/>
      <w:r w:rsidRPr="009D4AA4">
        <w:rPr>
          <w:sz w:val="28"/>
          <w:szCs w:val="28"/>
        </w:rPr>
        <w:t xml:space="preserve"> for </w:t>
      </w:r>
      <w:proofErr w:type="spellStart"/>
      <w:r w:rsidRPr="009D4AA4">
        <w:rPr>
          <w:sz w:val="28"/>
          <w:szCs w:val="28"/>
        </w:rPr>
        <w:t>sammengli</w:t>
      </w:r>
      <w:r w:rsidR="003366B1" w:rsidRPr="009D4AA4">
        <w:rPr>
          <w:sz w:val="28"/>
          <w:szCs w:val="28"/>
        </w:rPr>
        <w:t>gnende</w:t>
      </w:r>
      <w:proofErr w:type="spellEnd"/>
      <w:r w:rsidR="003366B1" w:rsidRPr="009D4AA4">
        <w:rPr>
          <w:sz w:val="28"/>
          <w:szCs w:val="28"/>
        </w:rPr>
        <w:t xml:space="preserve"> </w:t>
      </w:r>
      <w:proofErr w:type="spellStart"/>
      <w:r w:rsidR="003366B1" w:rsidRPr="009D4AA4">
        <w:rPr>
          <w:sz w:val="28"/>
          <w:szCs w:val="28"/>
        </w:rPr>
        <w:t>kultursforskning</w:t>
      </w:r>
      <w:proofErr w:type="spellEnd"/>
      <w:r w:rsidR="003366B1" w:rsidRPr="009D4AA4">
        <w:rPr>
          <w:sz w:val="28"/>
          <w:szCs w:val="28"/>
        </w:rPr>
        <w:t>, Oslo, 1997, pp. 52-65.</w:t>
      </w:r>
    </w:p>
    <w:p w:rsidR="0031727E" w:rsidRPr="009D4AA4" w:rsidRDefault="0031727E" w:rsidP="0031727E">
      <w:pPr>
        <w:bidi w:val="0"/>
        <w:rPr>
          <w:sz w:val="28"/>
          <w:szCs w:val="28"/>
        </w:rPr>
      </w:pPr>
    </w:p>
    <w:p w:rsidR="0031727E" w:rsidRPr="009D4AA4" w:rsidRDefault="0031727E" w:rsidP="0031727E">
      <w:pPr>
        <w:rPr>
          <w:sz w:val="28"/>
          <w:szCs w:val="28"/>
          <w:rtl/>
          <w:lang w:val="es-MX"/>
        </w:rPr>
      </w:pPr>
      <w:r w:rsidRPr="009D4AA4">
        <w:rPr>
          <w:rFonts w:hint="cs"/>
          <w:sz w:val="28"/>
          <w:szCs w:val="28"/>
          <w:rtl/>
          <w:lang w:val="es-MX"/>
        </w:rPr>
        <w:t>12. ביקורת מערבית כלפי הנזירות המזרחית:</w:t>
      </w:r>
    </w:p>
    <w:p w:rsidR="0031727E" w:rsidRPr="009D4AA4" w:rsidRDefault="0031727E" w:rsidP="0031727E">
      <w:pPr>
        <w:bidi w:val="0"/>
        <w:rPr>
          <w:sz w:val="28"/>
          <w:szCs w:val="28"/>
        </w:rPr>
      </w:pPr>
      <w:r w:rsidRPr="009D4AA4">
        <w:rPr>
          <w:sz w:val="28"/>
          <w:szCs w:val="28"/>
          <w:lang w:val="es-MX"/>
        </w:rPr>
        <w:t xml:space="preserve">Manoel Barradas, </w:t>
      </w:r>
      <w:r w:rsidRPr="009D4AA4">
        <w:rPr>
          <w:i/>
          <w:iCs/>
          <w:sz w:val="28"/>
          <w:szCs w:val="28"/>
          <w:lang w:val="es-MX"/>
        </w:rPr>
        <w:t xml:space="preserve">Tractatus Tres-Historici Geographici (1634). </w:t>
      </w:r>
      <w:r w:rsidRPr="009D4AA4">
        <w:rPr>
          <w:i/>
          <w:iCs/>
          <w:sz w:val="28"/>
          <w:szCs w:val="28"/>
        </w:rPr>
        <w:t>A Seventeenth Century historical and Geographical Account of Tigray, Ethiopia,</w:t>
      </w:r>
      <w:r w:rsidRPr="009D4AA4">
        <w:rPr>
          <w:sz w:val="28"/>
          <w:szCs w:val="28"/>
        </w:rPr>
        <w:t xml:space="preserve"> ed. Richard Pankhurst, trans. </w:t>
      </w:r>
      <w:proofErr w:type="spellStart"/>
      <w:r w:rsidRPr="009D4AA4">
        <w:rPr>
          <w:sz w:val="28"/>
          <w:szCs w:val="28"/>
        </w:rPr>
        <w:t>Elizabet</w:t>
      </w:r>
      <w:proofErr w:type="spellEnd"/>
      <w:r w:rsidRPr="009D4AA4">
        <w:rPr>
          <w:sz w:val="28"/>
          <w:szCs w:val="28"/>
        </w:rPr>
        <w:t xml:space="preserve"> </w:t>
      </w:r>
      <w:proofErr w:type="spellStart"/>
      <w:r w:rsidRPr="009D4AA4">
        <w:rPr>
          <w:sz w:val="28"/>
          <w:szCs w:val="28"/>
        </w:rPr>
        <w:t>Filleul</w:t>
      </w:r>
      <w:proofErr w:type="spellEnd"/>
      <w:r w:rsidRPr="009D4AA4">
        <w:rPr>
          <w:sz w:val="28"/>
          <w:szCs w:val="28"/>
        </w:rPr>
        <w:t xml:space="preserve">, Wiesbaden: </w:t>
      </w:r>
      <w:proofErr w:type="spellStart"/>
      <w:r w:rsidRPr="009D4AA4">
        <w:rPr>
          <w:sz w:val="28"/>
          <w:szCs w:val="28"/>
        </w:rPr>
        <w:t>Harrassowitz</w:t>
      </w:r>
      <w:proofErr w:type="spellEnd"/>
      <w:r w:rsidRPr="009D4AA4">
        <w:rPr>
          <w:sz w:val="28"/>
          <w:szCs w:val="28"/>
        </w:rPr>
        <w:t xml:space="preserve"> </w:t>
      </w:r>
      <w:proofErr w:type="spellStart"/>
      <w:r w:rsidRPr="009D4AA4">
        <w:rPr>
          <w:sz w:val="28"/>
          <w:szCs w:val="28"/>
        </w:rPr>
        <w:t>Verlag</w:t>
      </w:r>
      <w:proofErr w:type="spellEnd"/>
      <w:r w:rsidRPr="009D4AA4">
        <w:rPr>
          <w:sz w:val="28"/>
          <w:szCs w:val="28"/>
        </w:rPr>
        <w:t>, 1996, pp. 81-83, 126-154.</w:t>
      </w:r>
    </w:p>
    <w:p w:rsidR="0031727E" w:rsidRPr="009D4AA4" w:rsidRDefault="0031727E" w:rsidP="0031727E">
      <w:pPr>
        <w:bidi w:val="0"/>
        <w:jc w:val="right"/>
        <w:rPr>
          <w:sz w:val="28"/>
          <w:szCs w:val="28"/>
          <w:rtl/>
          <w:lang w:val="es-MX"/>
        </w:rPr>
      </w:pPr>
      <w:r w:rsidRPr="009D4AA4">
        <w:rPr>
          <w:rFonts w:hint="cs"/>
          <w:sz w:val="28"/>
          <w:szCs w:val="28"/>
          <w:rtl/>
          <w:lang w:val="es-MX"/>
        </w:rPr>
        <w:t>13</w:t>
      </w:r>
      <w:bookmarkStart w:id="0" w:name="_GoBack"/>
      <w:bookmarkEnd w:id="0"/>
      <w:r w:rsidRPr="009D4AA4">
        <w:rPr>
          <w:rFonts w:hint="cs"/>
          <w:sz w:val="28"/>
          <w:szCs w:val="28"/>
          <w:rtl/>
          <w:lang w:val="es-MX"/>
        </w:rPr>
        <w:t>. סיכום.</w:t>
      </w:r>
    </w:p>
    <w:sectPr w:rsidR="0031727E" w:rsidRPr="009D4AA4" w:rsidSect="003C3A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210A5"/>
    <w:multiLevelType w:val="hybridMultilevel"/>
    <w:tmpl w:val="700AB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984D03"/>
    <w:multiLevelType w:val="multilevel"/>
    <w:tmpl w:val="6FCE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77B"/>
    <w:rsid w:val="000216CE"/>
    <w:rsid w:val="0031727E"/>
    <w:rsid w:val="003366B1"/>
    <w:rsid w:val="003C3A68"/>
    <w:rsid w:val="006E1F31"/>
    <w:rsid w:val="00730F6F"/>
    <w:rsid w:val="007C3190"/>
    <w:rsid w:val="008E146E"/>
    <w:rsid w:val="008E59B9"/>
    <w:rsid w:val="009660AF"/>
    <w:rsid w:val="009D4AA4"/>
    <w:rsid w:val="00A647FF"/>
    <w:rsid w:val="00E805D9"/>
    <w:rsid w:val="00F817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8E59B9"/>
    <w:pPr>
      <w:spacing w:after="0" w:line="240" w:lineRule="auto"/>
      <w:jc w:val="center"/>
    </w:pPr>
    <w:rPr>
      <w:rFonts w:ascii="Times New Roman" w:eastAsia="Times New Roman" w:hAnsi="Times New Roman" w:cs="David"/>
      <w:b/>
      <w:bCs/>
      <w:sz w:val="28"/>
      <w:szCs w:val="28"/>
      <w:lang w:eastAsia="he-IL"/>
    </w:rPr>
  </w:style>
  <w:style w:type="paragraph" w:styleId="a4">
    <w:name w:val="Subtitle"/>
    <w:basedOn w:val="a"/>
    <w:link w:val="a5"/>
    <w:qFormat/>
    <w:rsid w:val="008E59B9"/>
    <w:pPr>
      <w:spacing w:after="0" w:line="240" w:lineRule="auto"/>
    </w:pPr>
    <w:rPr>
      <w:rFonts w:ascii="Times New Roman" w:eastAsia="Times New Roman" w:hAnsi="Times New Roman" w:cs="Times New Roman"/>
      <w:b/>
      <w:bCs/>
      <w:sz w:val="24"/>
      <w:szCs w:val="24"/>
      <w:lang w:eastAsia="he-IL"/>
    </w:rPr>
  </w:style>
  <w:style w:type="character" w:customStyle="1" w:styleId="a5">
    <w:name w:val="כותרת משנה תו"/>
    <w:basedOn w:val="a0"/>
    <w:link w:val="a4"/>
    <w:rsid w:val="008E59B9"/>
    <w:rPr>
      <w:rFonts w:ascii="Times New Roman" w:eastAsia="Times New Roman" w:hAnsi="Times New Roman" w:cs="Times New Roman"/>
      <w:b/>
      <w:bCs/>
      <w:sz w:val="24"/>
      <w:szCs w:val="24"/>
      <w:lang w:eastAsia="he-IL"/>
    </w:rPr>
  </w:style>
  <w:style w:type="paragraph" w:styleId="a6">
    <w:name w:val="Balloon Text"/>
    <w:basedOn w:val="a"/>
    <w:link w:val="a7"/>
    <w:uiPriority w:val="99"/>
    <w:semiHidden/>
    <w:unhideWhenUsed/>
    <w:rsid w:val="008E59B9"/>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8E59B9"/>
    <w:rPr>
      <w:rFonts w:ascii="Tahoma" w:hAnsi="Tahoma" w:cs="Tahoma"/>
      <w:sz w:val="16"/>
      <w:szCs w:val="16"/>
    </w:rPr>
  </w:style>
  <w:style w:type="character" w:styleId="a8">
    <w:name w:val="Emphasis"/>
    <w:basedOn w:val="a0"/>
    <w:uiPriority w:val="20"/>
    <w:qFormat/>
    <w:rsid w:val="009660AF"/>
    <w:rPr>
      <w:i/>
      <w:iCs/>
    </w:rPr>
  </w:style>
  <w:style w:type="paragraph" w:styleId="a9">
    <w:name w:val="List Paragraph"/>
    <w:basedOn w:val="a"/>
    <w:uiPriority w:val="34"/>
    <w:qFormat/>
    <w:rsid w:val="003366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8E59B9"/>
    <w:pPr>
      <w:spacing w:after="0" w:line="240" w:lineRule="auto"/>
      <w:jc w:val="center"/>
    </w:pPr>
    <w:rPr>
      <w:rFonts w:ascii="Times New Roman" w:eastAsia="Times New Roman" w:hAnsi="Times New Roman" w:cs="David"/>
      <w:b/>
      <w:bCs/>
      <w:sz w:val="28"/>
      <w:szCs w:val="28"/>
      <w:lang w:eastAsia="he-IL"/>
    </w:rPr>
  </w:style>
  <w:style w:type="paragraph" w:styleId="a4">
    <w:name w:val="Subtitle"/>
    <w:basedOn w:val="a"/>
    <w:link w:val="a5"/>
    <w:qFormat/>
    <w:rsid w:val="008E59B9"/>
    <w:pPr>
      <w:spacing w:after="0" w:line="240" w:lineRule="auto"/>
    </w:pPr>
    <w:rPr>
      <w:rFonts w:ascii="Times New Roman" w:eastAsia="Times New Roman" w:hAnsi="Times New Roman" w:cs="Times New Roman"/>
      <w:b/>
      <w:bCs/>
      <w:sz w:val="24"/>
      <w:szCs w:val="24"/>
      <w:lang w:eastAsia="he-IL"/>
    </w:rPr>
  </w:style>
  <w:style w:type="character" w:customStyle="1" w:styleId="a5">
    <w:name w:val="כותרת משנה תו"/>
    <w:basedOn w:val="a0"/>
    <w:link w:val="a4"/>
    <w:rsid w:val="008E59B9"/>
    <w:rPr>
      <w:rFonts w:ascii="Times New Roman" w:eastAsia="Times New Roman" w:hAnsi="Times New Roman" w:cs="Times New Roman"/>
      <w:b/>
      <w:bCs/>
      <w:sz w:val="24"/>
      <w:szCs w:val="24"/>
      <w:lang w:eastAsia="he-IL"/>
    </w:rPr>
  </w:style>
  <w:style w:type="paragraph" w:styleId="a6">
    <w:name w:val="Balloon Text"/>
    <w:basedOn w:val="a"/>
    <w:link w:val="a7"/>
    <w:uiPriority w:val="99"/>
    <w:semiHidden/>
    <w:unhideWhenUsed/>
    <w:rsid w:val="008E59B9"/>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8E59B9"/>
    <w:rPr>
      <w:rFonts w:ascii="Tahoma" w:hAnsi="Tahoma" w:cs="Tahoma"/>
      <w:sz w:val="16"/>
      <w:szCs w:val="16"/>
    </w:rPr>
  </w:style>
  <w:style w:type="character" w:styleId="a8">
    <w:name w:val="Emphasis"/>
    <w:basedOn w:val="a0"/>
    <w:uiPriority w:val="20"/>
    <w:qFormat/>
    <w:rsid w:val="009660AF"/>
    <w:rPr>
      <w:i/>
      <w:iCs/>
    </w:rPr>
  </w:style>
  <w:style w:type="paragraph" w:styleId="a9">
    <w:name w:val="List Paragraph"/>
    <w:basedOn w:val="a"/>
    <w:uiPriority w:val="34"/>
    <w:qFormat/>
    <w:rsid w:val="00336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8749">
      <w:bodyDiv w:val="1"/>
      <w:marLeft w:val="0"/>
      <w:marRight w:val="0"/>
      <w:marTop w:val="0"/>
      <w:marBottom w:val="0"/>
      <w:divBdr>
        <w:top w:val="none" w:sz="0" w:space="0" w:color="auto"/>
        <w:left w:val="none" w:sz="0" w:space="0" w:color="auto"/>
        <w:bottom w:val="none" w:sz="0" w:space="0" w:color="auto"/>
        <w:right w:val="none" w:sz="0" w:space="0" w:color="auto"/>
      </w:divBdr>
    </w:div>
    <w:div w:id="214672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www.bgu.ac.il/gifs/new_logo.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668</Words>
  <Characters>3342</Characters>
  <Application>Microsoft Office Word</Application>
  <DocSecurity>0</DocSecurity>
  <Lines>27</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cp:lastModifiedBy>
  <cp:revision>4</cp:revision>
  <dcterms:created xsi:type="dcterms:W3CDTF">2017-07-05T09:48:00Z</dcterms:created>
  <dcterms:modified xsi:type="dcterms:W3CDTF">2017-07-06T08:59:00Z</dcterms:modified>
</cp:coreProperties>
</file>