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5E" w:rsidRPr="00090535" w:rsidRDefault="0003515E" w:rsidP="0003515E">
      <w:pPr>
        <w:ind w:left="2880" w:firstLine="720"/>
        <w:rPr>
          <w:rFonts w:ascii="Calibri" w:hAnsi="Calibri" w:cstheme="minorBidi" w:hint="cs"/>
          <w:b/>
          <w:bCs/>
        </w:rPr>
      </w:pPr>
    </w:p>
    <w:p w:rsidR="0003515E" w:rsidRPr="00BD05CF" w:rsidRDefault="00090535" w:rsidP="0003515E">
      <w:pPr>
        <w:ind w:left="2880" w:firstLine="720"/>
        <w:rPr>
          <w:rFonts w:ascii="Calibri" w:hAnsi="Calibri" w:cs="Calibri"/>
          <w:rtl/>
        </w:rPr>
      </w:pPr>
      <w:r>
        <w:rPr>
          <w:rFonts w:ascii="Calibri" w:hAnsi="Calibri" w:cs="Calibri"/>
          <w:b/>
          <w:bCs/>
          <w:noProof/>
        </w:rPr>
        <w:drawing>
          <wp:inline distT="0" distB="0" distL="0" distR="0">
            <wp:extent cx="495300" cy="571500"/>
            <wp:effectExtent l="0" t="0" r="0" b="0"/>
            <wp:docPr id="1" name="Picture 1"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03515E" w:rsidRPr="00BD05CF" w:rsidRDefault="0003515E" w:rsidP="0003515E">
      <w:pPr>
        <w:pStyle w:val="Caption"/>
        <w:ind w:left="2160" w:firstLine="720"/>
        <w:jc w:val="left"/>
        <w:rPr>
          <w:rFonts w:ascii="Calibri" w:hAnsi="Calibri" w:cs="Calibri"/>
          <w:sz w:val="24"/>
          <w:szCs w:val="24"/>
          <w:rtl/>
        </w:rPr>
      </w:pPr>
      <w:r w:rsidRPr="00BD05CF">
        <w:rPr>
          <w:rFonts w:ascii="Calibri" w:hAnsi="Calibri" w:cs="Times New Roman"/>
          <w:sz w:val="24"/>
          <w:szCs w:val="24"/>
          <w:rtl/>
        </w:rPr>
        <w:t>אוניברסיטת</w:t>
      </w:r>
      <w:r w:rsidRPr="00BD05CF">
        <w:rPr>
          <w:rFonts w:ascii="Calibri" w:hAnsi="Calibri" w:cs="Calibri"/>
          <w:sz w:val="24"/>
          <w:szCs w:val="24"/>
          <w:rtl/>
        </w:rPr>
        <w:t xml:space="preserve"> </w:t>
      </w:r>
      <w:r w:rsidRPr="00BD05CF">
        <w:rPr>
          <w:rFonts w:ascii="Calibri" w:hAnsi="Calibri" w:cs="Times New Roman"/>
          <w:sz w:val="24"/>
          <w:szCs w:val="24"/>
          <w:rtl/>
        </w:rPr>
        <w:t>בן</w:t>
      </w:r>
      <w:r w:rsidRPr="00BD05CF">
        <w:rPr>
          <w:rFonts w:ascii="Calibri" w:hAnsi="Calibri" w:cs="Calibri"/>
          <w:sz w:val="24"/>
          <w:szCs w:val="24"/>
          <w:rtl/>
        </w:rPr>
        <w:t>-</w:t>
      </w:r>
      <w:r w:rsidRPr="00BD05CF">
        <w:rPr>
          <w:rFonts w:ascii="Calibri" w:hAnsi="Calibri" w:cs="Times New Roman"/>
          <w:sz w:val="24"/>
          <w:szCs w:val="24"/>
          <w:rtl/>
        </w:rPr>
        <w:t>גוריון</w:t>
      </w:r>
      <w:r w:rsidRPr="00BD05CF">
        <w:rPr>
          <w:rFonts w:ascii="Calibri" w:hAnsi="Calibri" w:cs="Calibri"/>
          <w:sz w:val="24"/>
          <w:szCs w:val="24"/>
          <w:rtl/>
        </w:rPr>
        <w:t xml:space="preserve"> </w:t>
      </w:r>
      <w:r w:rsidRPr="00BD05CF">
        <w:rPr>
          <w:rFonts w:ascii="Calibri" w:hAnsi="Calibri" w:cs="Times New Roman"/>
          <w:sz w:val="24"/>
          <w:szCs w:val="24"/>
          <w:rtl/>
        </w:rPr>
        <w:t>בנגב</w:t>
      </w:r>
    </w:p>
    <w:p w:rsidR="0003515E" w:rsidRPr="00BD05CF" w:rsidRDefault="0003515E" w:rsidP="0003515E">
      <w:pPr>
        <w:ind w:left="1440" w:firstLine="720"/>
        <w:rPr>
          <w:rFonts w:ascii="Calibri" w:hAnsi="Calibri" w:cs="Calibri"/>
          <w:rtl/>
        </w:rPr>
      </w:pPr>
      <w:r w:rsidRPr="00BD05CF">
        <w:rPr>
          <w:rFonts w:ascii="Calibri" w:hAnsi="Calibri" w:cs="Calibri"/>
          <w:b/>
          <w:bCs/>
          <w:rtl/>
        </w:rPr>
        <w:t xml:space="preserve">       </w:t>
      </w:r>
      <w:r w:rsidRPr="00BD05CF">
        <w:rPr>
          <w:rFonts w:ascii="Calibri" w:hAnsi="Calibri"/>
          <w:b/>
          <w:bCs/>
          <w:rtl/>
        </w:rPr>
        <w:t>הפקולטה</w:t>
      </w:r>
      <w:r w:rsidRPr="00BD05CF">
        <w:rPr>
          <w:rFonts w:ascii="Calibri" w:hAnsi="Calibri" w:cs="Calibri"/>
          <w:b/>
          <w:bCs/>
          <w:rtl/>
        </w:rPr>
        <w:t xml:space="preserve"> </w:t>
      </w:r>
      <w:r w:rsidRPr="00BD05CF">
        <w:rPr>
          <w:rFonts w:ascii="Calibri" w:hAnsi="Calibri"/>
          <w:b/>
          <w:bCs/>
          <w:rtl/>
        </w:rPr>
        <w:t>למדעי</w:t>
      </w:r>
      <w:r w:rsidRPr="00BD05CF">
        <w:rPr>
          <w:rFonts w:ascii="Calibri" w:hAnsi="Calibri" w:cs="Calibri"/>
          <w:b/>
          <w:bCs/>
          <w:rtl/>
        </w:rPr>
        <w:t xml:space="preserve"> </w:t>
      </w:r>
      <w:r w:rsidRPr="00BD05CF">
        <w:rPr>
          <w:rFonts w:ascii="Calibri" w:hAnsi="Calibri"/>
          <w:b/>
          <w:bCs/>
          <w:rtl/>
        </w:rPr>
        <w:t>הרוח</w:t>
      </w:r>
      <w:r w:rsidRPr="00BD05CF">
        <w:rPr>
          <w:rFonts w:ascii="Calibri" w:hAnsi="Calibri" w:cs="Calibri"/>
          <w:b/>
          <w:bCs/>
          <w:rtl/>
        </w:rPr>
        <w:t xml:space="preserve"> </w:t>
      </w:r>
      <w:r w:rsidRPr="00BD05CF">
        <w:rPr>
          <w:rFonts w:ascii="Calibri" w:hAnsi="Calibri"/>
          <w:b/>
          <w:bCs/>
          <w:rtl/>
        </w:rPr>
        <w:t>והחברה</w:t>
      </w:r>
      <w:r w:rsidRPr="00BD05CF">
        <w:rPr>
          <w:rFonts w:ascii="Calibri" w:hAnsi="Calibri" w:cs="Calibri"/>
          <w:rtl/>
        </w:rPr>
        <w:tab/>
      </w:r>
      <w:r w:rsidRPr="00BD05CF">
        <w:rPr>
          <w:rFonts w:ascii="Calibri" w:hAnsi="Calibri" w:cs="Calibri"/>
          <w:rtl/>
        </w:rPr>
        <w:tab/>
      </w:r>
      <w:r w:rsidRPr="00BD05CF">
        <w:rPr>
          <w:rFonts w:ascii="Calibri" w:hAnsi="Calibri" w:cs="Calibri"/>
          <w:rtl/>
        </w:rPr>
        <w:tab/>
      </w:r>
    </w:p>
    <w:p w:rsidR="0003515E" w:rsidRPr="00BD05CF" w:rsidRDefault="0003515E" w:rsidP="0009339E">
      <w:pPr>
        <w:rPr>
          <w:rFonts w:ascii="Calibri" w:hAnsi="Calibri" w:cs="Calibri"/>
          <w:b/>
          <w:bCs/>
          <w:u w:val="single"/>
          <w:rtl/>
        </w:rPr>
      </w:pPr>
      <w:r w:rsidRPr="00BD05CF">
        <w:rPr>
          <w:rFonts w:ascii="Calibri" w:hAnsi="Calibri" w:cs="Calibri"/>
          <w:b/>
          <w:bCs/>
          <w:rtl/>
        </w:rPr>
        <w:t xml:space="preserve">                                        </w:t>
      </w:r>
      <w:r w:rsidRPr="00BD05CF">
        <w:rPr>
          <w:rFonts w:ascii="Calibri" w:hAnsi="Calibri"/>
          <w:b/>
          <w:bCs/>
          <w:rtl/>
        </w:rPr>
        <w:t>המחלקה</w:t>
      </w:r>
      <w:r w:rsidRPr="00BD05CF">
        <w:rPr>
          <w:rFonts w:ascii="Calibri" w:hAnsi="Calibri" w:cs="Calibri"/>
          <w:b/>
          <w:bCs/>
          <w:rtl/>
        </w:rPr>
        <w:t xml:space="preserve"> </w:t>
      </w:r>
      <w:r w:rsidRPr="00BD05CF">
        <w:rPr>
          <w:rFonts w:ascii="Calibri" w:hAnsi="Calibri"/>
          <w:b/>
          <w:bCs/>
          <w:rtl/>
        </w:rPr>
        <w:t>להיסטוריה</w:t>
      </w:r>
      <w:r w:rsidRPr="00BD05CF">
        <w:rPr>
          <w:rFonts w:ascii="Calibri" w:hAnsi="Calibri" w:cs="Calibri"/>
          <w:b/>
          <w:bCs/>
          <w:rtl/>
        </w:rPr>
        <w:t xml:space="preserve"> </w:t>
      </w:r>
      <w:r w:rsidRPr="00BD05CF">
        <w:rPr>
          <w:rFonts w:ascii="Calibri" w:hAnsi="Calibri"/>
          <w:b/>
          <w:bCs/>
          <w:rtl/>
        </w:rPr>
        <w:t>כללית</w:t>
      </w:r>
      <w:r w:rsidRPr="00BD05CF">
        <w:rPr>
          <w:rFonts w:ascii="Calibri" w:hAnsi="Calibri" w:cs="Calibri"/>
          <w:b/>
          <w:bCs/>
          <w:sz w:val="28"/>
          <w:szCs w:val="28"/>
          <w:rtl/>
        </w:rPr>
        <w:t xml:space="preserve"> </w:t>
      </w:r>
      <w:r w:rsidRPr="00BD05CF">
        <w:rPr>
          <w:rFonts w:ascii="Calibri" w:hAnsi="Calibri" w:cs="Calibri"/>
          <w:b/>
          <w:bCs/>
          <w:rtl/>
        </w:rPr>
        <w:t xml:space="preserve">- </w:t>
      </w:r>
      <w:r w:rsidRPr="00BD05CF">
        <w:rPr>
          <w:rFonts w:ascii="Calibri" w:hAnsi="Calibri"/>
          <w:b/>
          <w:bCs/>
          <w:rtl/>
        </w:rPr>
        <w:t>תשע</w:t>
      </w:r>
      <w:r w:rsidRPr="00BD05CF">
        <w:rPr>
          <w:rFonts w:ascii="Calibri" w:hAnsi="Calibri" w:cs="Calibri"/>
          <w:b/>
          <w:bCs/>
          <w:rtl/>
        </w:rPr>
        <w:t>"</w:t>
      </w:r>
      <w:r w:rsidR="0009339E">
        <w:rPr>
          <w:rFonts w:ascii="Calibri" w:hAnsi="Calibri" w:hint="cs"/>
          <w:b/>
          <w:bCs/>
          <w:rtl/>
        </w:rPr>
        <w:t>ח</w:t>
      </w:r>
      <w:r w:rsidRPr="00BD05CF">
        <w:rPr>
          <w:rFonts w:ascii="Calibri" w:hAnsi="Calibri" w:cs="Calibri"/>
          <w:b/>
          <w:bCs/>
          <w:u w:val="single"/>
          <w:rtl/>
        </w:rPr>
        <w:t xml:space="preserve">    </w:t>
      </w:r>
    </w:p>
    <w:p w:rsidR="0003515E" w:rsidRPr="00BD05CF" w:rsidRDefault="0003515E" w:rsidP="0003515E">
      <w:pPr>
        <w:rPr>
          <w:rFonts w:ascii="Calibri" w:hAnsi="Calibri" w:cs="Calibri"/>
          <w:b/>
          <w:bCs/>
          <w:u w:val="single"/>
          <w:rtl/>
        </w:rPr>
      </w:pPr>
    </w:p>
    <w:p w:rsidR="0003515E" w:rsidRPr="00BD05CF" w:rsidRDefault="0003515E" w:rsidP="0003515E">
      <w:pPr>
        <w:rPr>
          <w:rFonts w:ascii="Calibri" w:hAnsi="Calibri" w:cs="Calibri"/>
          <w:rtl/>
        </w:rPr>
      </w:pPr>
    </w:p>
    <w:p w:rsidR="0003515E" w:rsidRPr="00BD05CF" w:rsidRDefault="0003515E" w:rsidP="0003515E">
      <w:pPr>
        <w:rPr>
          <w:rtl/>
        </w:rPr>
      </w:pPr>
      <w:r w:rsidRPr="00BD05CF">
        <w:rPr>
          <w:rtl/>
        </w:rPr>
        <w:t>שם הסמינר: אירופה מעבר לים</w:t>
      </w:r>
    </w:p>
    <w:p w:rsidR="0003515E" w:rsidRPr="00BD05CF" w:rsidRDefault="0003515E" w:rsidP="0009339E">
      <w:pPr>
        <w:rPr>
          <w:rtl/>
        </w:rPr>
      </w:pPr>
      <w:r w:rsidRPr="00BD05CF">
        <w:rPr>
          <w:rtl/>
        </w:rPr>
        <w:t xml:space="preserve">שם המרצה: </w:t>
      </w:r>
      <w:r w:rsidR="0009339E">
        <w:rPr>
          <w:rFonts w:hint="cs"/>
          <w:rtl/>
        </w:rPr>
        <w:t>פרופ'</w:t>
      </w:r>
      <w:r w:rsidRPr="00BD05CF">
        <w:rPr>
          <w:rtl/>
        </w:rPr>
        <w:t xml:space="preserve"> רות ג'יניאו</w:t>
      </w:r>
    </w:p>
    <w:p w:rsidR="0003515E" w:rsidRPr="00BD05CF" w:rsidRDefault="0003515E" w:rsidP="0003515E">
      <w:pPr>
        <w:rPr>
          <w:rtl/>
        </w:rPr>
      </w:pPr>
      <w:r w:rsidRPr="00BD05CF">
        <w:rPr>
          <w:rtl/>
        </w:rPr>
        <w:t>בניין דילר, חדר 306</w:t>
      </w:r>
    </w:p>
    <w:p w:rsidR="0003515E" w:rsidRDefault="0003515E" w:rsidP="0009339E">
      <w:pPr>
        <w:rPr>
          <w:rtl/>
        </w:rPr>
      </w:pPr>
      <w:r w:rsidRPr="00BD05CF">
        <w:rPr>
          <w:rtl/>
        </w:rPr>
        <w:t xml:space="preserve">שעת קבלה: </w:t>
      </w:r>
      <w:r w:rsidR="000A7581">
        <w:rPr>
          <w:rFonts w:hint="cs"/>
          <w:rtl/>
        </w:rPr>
        <w:t xml:space="preserve">יום ב' </w:t>
      </w:r>
      <w:r w:rsidR="0009339E">
        <w:rPr>
          <w:rFonts w:hint="cs"/>
          <w:rtl/>
        </w:rPr>
        <w:t>12-11(בתיאום מראש בלבד)</w:t>
      </w:r>
    </w:p>
    <w:p w:rsidR="0003515E" w:rsidRPr="00BD05CF" w:rsidRDefault="0003515E" w:rsidP="0003515E">
      <w:pPr>
        <w:rPr>
          <w:rtl/>
        </w:rPr>
      </w:pPr>
      <w:r w:rsidRPr="00BD05CF">
        <w:rPr>
          <w:rtl/>
        </w:rPr>
        <w:t xml:space="preserve">דוא"ל: </w:t>
      </w:r>
      <w:hyperlink r:id="rId5" w:history="1">
        <w:r w:rsidRPr="00BD05CF">
          <w:rPr>
            <w:rStyle w:val="Hyperlink"/>
          </w:rPr>
          <w:t>rginio@bgu.ac.il</w:t>
        </w:r>
      </w:hyperlink>
    </w:p>
    <w:p w:rsidR="0003515E" w:rsidRPr="00BD05CF" w:rsidRDefault="0003515E" w:rsidP="0003515E">
      <w:pPr>
        <w:rPr>
          <w:rtl/>
        </w:rPr>
      </w:pPr>
    </w:p>
    <w:p w:rsidR="00205627" w:rsidRDefault="00205627" w:rsidP="0003515E">
      <w:pPr>
        <w:rPr>
          <w:u w:val="single"/>
          <w:rtl/>
        </w:rPr>
      </w:pPr>
      <w:r>
        <w:rPr>
          <w:rFonts w:hint="cs"/>
          <w:u w:val="single"/>
          <w:rtl/>
        </w:rPr>
        <w:t>תיאור הסמינר:</w:t>
      </w:r>
    </w:p>
    <w:p w:rsidR="00205627" w:rsidRDefault="00205627" w:rsidP="0003515E">
      <w:pPr>
        <w:rPr>
          <w:rtl/>
        </w:rPr>
      </w:pPr>
      <w:r w:rsidRPr="00205627">
        <w:rPr>
          <w:rFonts w:hint="cs"/>
          <w:rtl/>
        </w:rPr>
        <w:t>סמינר זה עוסק בנושא רחב ב</w:t>
      </w:r>
      <w:r>
        <w:rPr>
          <w:rFonts w:hint="cs"/>
          <w:rtl/>
        </w:rPr>
        <w:t xml:space="preserve">יותר עליו נכתבו אין ספור מחקרים. מטרת הסמינר אם כן אינה לתת סקירה היסטורית של המשטרים הקולוניאליים ברחבי העולם אלא לספק לתלמידים את הכלים על מנת שיוכלו לחקור באופן עצמאי סוגיות שונות הקשורות לקולוניאליזם במאות התשע-עשרה והעשרים. </w:t>
      </w:r>
    </w:p>
    <w:p w:rsidR="00205627" w:rsidRDefault="00205627" w:rsidP="0003515E">
      <w:pPr>
        <w:rPr>
          <w:rtl/>
        </w:rPr>
      </w:pPr>
      <w:r>
        <w:rPr>
          <w:rFonts w:hint="cs"/>
          <w:rtl/>
        </w:rPr>
        <w:t xml:space="preserve">בסמסטר א נבחן את תופעת הקולוניאליזם ראשית כחלק מההיסטוריה האירופית ואחר כך נעבור לדון במפגשים הקולוניאליים באזורים השונים בהם התרחשו. ברוב השיעורים בסמסטר נדון במאמר שיהיה במוקד השיעור. המאמר לא ישמש לנו רק כדי להעביר מידע על החומר הנלמד. במהלך השיעור ננתח את המאמר לעומק, נדון בגישה ההיסטוריוגרפית של המחבר/ת, נבחן את המקורות עליהם מתבסס המאמר, את האופן בו מוצגים הטיעונים ונחשוב על גם השאלות שהמאמר לא כיסה. השיעור לא יתקיים כהרצאה אלא כדיון בו כולכם מתבקשים לקחת חלק. </w:t>
      </w:r>
      <w:r>
        <w:rPr>
          <w:rFonts w:hint="cs"/>
          <w:b/>
          <w:bCs/>
          <w:rtl/>
        </w:rPr>
        <w:t>אין להגיע לשיעור בלי לקרוא את המאמר</w:t>
      </w:r>
      <w:r w:rsidR="00C511D1">
        <w:rPr>
          <w:rFonts w:hint="cs"/>
          <w:rtl/>
        </w:rPr>
        <w:t xml:space="preserve">. </w:t>
      </w:r>
      <w:r w:rsidR="00CD7319">
        <w:rPr>
          <w:rFonts w:hint="cs"/>
          <w:rtl/>
        </w:rPr>
        <w:t xml:space="preserve">החל מהשיעור של ה- 29 בנובמבר תתבקשו לבחור מושבה ולהדגים באמצעותה במהלך השיעורים את הנושא הכללי הנדון בו. תלמידי תכנית אפריקה חייבים לבחור באחת המושבות באפריקה. </w:t>
      </w:r>
    </w:p>
    <w:p w:rsidR="00C511D1" w:rsidRDefault="00C511D1" w:rsidP="00C511D1">
      <w:pPr>
        <w:rPr>
          <w:rtl/>
        </w:rPr>
      </w:pPr>
      <w:r>
        <w:rPr>
          <w:rFonts w:hint="cs"/>
          <w:rtl/>
        </w:rPr>
        <w:t xml:space="preserve">במשך הסמסטר נדון גם בשני ספר קריאה וסיפור קצר וננתח יחד מקור ראשוני. </w:t>
      </w:r>
    </w:p>
    <w:p w:rsidR="007C3C16" w:rsidRDefault="007C3C16" w:rsidP="00C511D1">
      <w:pPr>
        <w:rPr>
          <w:rtl/>
        </w:rPr>
      </w:pPr>
      <w:r>
        <w:rPr>
          <w:rFonts w:hint="cs"/>
          <w:rtl/>
        </w:rPr>
        <w:t xml:space="preserve">בסמסטר ב התלמידים יציגו את נושאי המחקר שלהם בפני הכיתה (לא יינתן פטור מחובה זו בשל שום סיבה). במהלך סמסטר זה נעסוק גם באופן שבו יש לכתוב עבודה סמינריונית. </w:t>
      </w:r>
    </w:p>
    <w:p w:rsidR="00C511D1" w:rsidRPr="00C511D1" w:rsidRDefault="00C511D1" w:rsidP="00C511D1">
      <w:pPr>
        <w:rPr>
          <w:rtl/>
        </w:rPr>
      </w:pPr>
    </w:p>
    <w:p w:rsidR="0003515E" w:rsidRPr="00BD05CF" w:rsidRDefault="0003515E" w:rsidP="0003515E">
      <w:pPr>
        <w:rPr>
          <w:rtl/>
        </w:rPr>
      </w:pPr>
      <w:r w:rsidRPr="00BD05CF">
        <w:rPr>
          <w:u w:val="single"/>
          <w:rtl/>
        </w:rPr>
        <w:t>חובות הסמינר</w:t>
      </w:r>
      <w:r w:rsidRPr="00BD05CF">
        <w:rPr>
          <w:rtl/>
        </w:rPr>
        <w:t>:</w:t>
      </w:r>
    </w:p>
    <w:p w:rsidR="0003515E" w:rsidRPr="00BD05CF" w:rsidRDefault="0003515E" w:rsidP="006D35C7">
      <w:pPr>
        <w:rPr>
          <w:rtl/>
        </w:rPr>
      </w:pPr>
      <w:r w:rsidRPr="00BD05CF">
        <w:rPr>
          <w:rtl/>
        </w:rPr>
        <w:t>1. השתתפות פעילה הכוללת את קריאת החומר השוטף, תרומה לדיון בכיתה</w:t>
      </w:r>
      <w:r w:rsidR="000B3863">
        <w:rPr>
          <w:rFonts w:hint="cs"/>
          <w:rtl/>
        </w:rPr>
        <w:t xml:space="preserve">, </w:t>
      </w:r>
      <w:r w:rsidR="006D35C7">
        <w:rPr>
          <w:rFonts w:hint="cs"/>
          <w:rtl/>
        </w:rPr>
        <w:t xml:space="preserve">בחירת מושבה והצגת הנושא שנידון בשיעורים בהקשר של מושבה זו </w:t>
      </w:r>
      <w:r w:rsidRPr="00BD05CF">
        <w:rPr>
          <w:rtl/>
        </w:rPr>
        <w:t>והצגת נושא העבודה הסמינריונית במהלך סמסטר ב' (</w:t>
      </w:r>
      <w:r w:rsidR="006D35C7">
        <w:rPr>
          <w:rFonts w:hint="cs"/>
          <w:rtl/>
        </w:rPr>
        <w:t>3</w:t>
      </w:r>
      <w:r w:rsidRPr="00BD05CF">
        <w:rPr>
          <w:rtl/>
        </w:rPr>
        <w:t>0 אחוז מהציון</w:t>
      </w:r>
      <w:r w:rsidR="000A7581">
        <w:rPr>
          <w:rFonts w:hint="cs"/>
          <w:rtl/>
        </w:rPr>
        <w:t>. הצגת הנושא בכיתה היא תנאי לקבלת ציון בקורס</w:t>
      </w:r>
      <w:r w:rsidRPr="00BD05CF">
        <w:rPr>
          <w:rtl/>
        </w:rPr>
        <w:t>)</w:t>
      </w:r>
      <w:r w:rsidR="00C511D1">
        <w:rPr>
          <w:rFonts w:hint="cs"/>
          <w:rtl/>
        </w:rPr>
        <w:t>. למותר לציין שהנוכחות בקורס היא חובה. אין להיעדר יותר משני שיעורים. היעדרויות מעל המותר יגררו הרחקה מהסמינר.</w:t>
      </w:r>
    </w:p>
    <w:p w:rsidR="0003515E" w:rsidRPr="00BD05CF" w:rsidRDefault="0003515E" w:rsidP="006D35C7">
      <w:pPr>
        <w:rPr>
          <w:rtl/>
        </w:rPr>
      </w:pPr>
      <w:r w:rsidRPr="00BD05CF">
        <w:rPr>
          <w:rtl/>
        </w:rPr>
        <w:t>2. תרגיל אמצע קורס (</w:t>
      </w:r>
      <w:r w:rsidR="006D35C7">
        <w:rPr>
          <w:rFonts w:hint="cs"/>
          <w:rtl/>
        </w:rPr>
        <w:t>3</w:t>
      </w:r>
      <w:r w:rsidR="00C511D1">
        <w:rPr>
          <w:rFonts w:hint="cs"/>
          <w:rtl/>
        </w:rPr>
        <w:t>0</w:t>
      </w:r>
      <w:r w:rsidRPr="00BD05CF">
        <w:rPr>
          <w:rtl/>
        </w:rPr>
        <w:t xml:space="preserve"> אחוז מהציון) </w:t>
      </w:r>
    </w:p>
    <w:p w:rsidR="0003515E" w:rsidRPr="00BD05CF" w:rsidRDefault="0003515E" w:rsidP="00CD7319">
      <w:pPr>
        <w:rPr>
          <w:rtl/>
        </w:rPr>
      </w:pPr>
      <w:r w:rsidRPr="00BD05CF">
        <w:rPr>
          <w:rtl/>
        </w:rPr>
        <w:t>3. עבודה סמינריונית (</w:t>
      </w:r>
      <w:r w:rsidR="00CD7319">
        <w:rPr>
          <w:rFonts w:hint="cs"/>
          <w:rtl/>
        </w:rPr>
        <w:t>4</w:t>
      </w:r>
      <w:r w:rsidRPr="00BD05CF">
        <w:rPr>
          <w:rtl/>
        </w:rPr>
        <w:t>0 אחוז מהציון)</w:t>
      </w:r>
    </w:p>
    <w:p w:rsidR="0003515E" w:rsidRDefault="0003515E" w:rsidP="0003515E">
      <w:pPr>
        <w:rPr>
          <w:rtl/>
        </w:rPr>
      </w:pPr>
      <w:r w:rsidRPr="00BD05CF">
        <w:rPr>
          <w:rtl/>
        </w:rPr>
        <w:t>5. שימו לב</w:t>
      </w:r>
      <w:r w:rsidR="00534A0D">
        <w:rPr>
          <w:rFonts w:hint="cs"/>
          <w:rtl/>
        </w:rPr>
        <w:t xml:space="preserve"> שבחומר הקריאה של סמסטר א </w:t>
      </w:r>
      <w:r>
        <w:rPr>
          <w:rFonts w:hint="cs"/>
          <w:rtl/>
        </w:rPr>
        <w:t>מופיעים שני ספרי קריאה. יש להשיג את העותקים בזמן ולקרוא את הספרים עד למועד הדיון בהם בסמינר.</w:t>
      </w:r>
    </w:p>
    <w:p w:rsidR="00414039" w:rsidRDefault="00414039" w:rsidP="0003515E">
      <w:pPr>
        <w:rPr>
          <w:rtl/>
        </w:rPr>
      </w:pPr>
      <w:r>
        <w:rPr>
          <w:rFonts w:hint="cs"/>
          <w:rtl/>
        </w:rPr>
        <w:t xml:space="preserve">6. יש להגיש לי בכתב באמצעות המייל את נושא העבודה שבחרתם עד לשיעור האחרון בסמסטר. בשיעור הראשון שלאחר חופשת הסמסטר </w:t>
      </w:r>
      <w:r w:rsidR="005A160D">
        <w:rPr>
          <w:rFonts w:hint="cs"/>
          <w:rtl/>
        </w:rPr>
        <w:t>יש לה</w:t>
      </w:r>
      <w:r w:rsidR="00C511D1">
        <w:rPr>
          <w:rFonts w:hint="cs"/>
          <w:rtl/>
        </w:rPr>
        <w:t>גיש לי רשימה ביבליוגרפית התחלתית הכוללת לפחות 10 פריטים (ספרים ומאמרים). מתחת לכל פריט המופיע ברשימה יש לכתוב תיאור קצר שלו (עד שתי שורות)</w:t>
      </w:r>
      <w:r w:rsidR="005A160D">
        <w:rPr>
          <w:rFonts w:hint="cs"/>
          <w:rtl/>
        </w:rPr>
        <w:t xml:space="preserve">. עד לסיום חופשת הפסח יש להגיש ראשי פרקים לעבודה. </w:t>
      </w:r>
    </w:p>
    <w:p w:rsidR="0003515E" w:rsidRDefault="0003515E" w:rsidP="0003515E">
      <w:pPr>
        <w:rPr>
          <w:rtl/>
        </w:rPr>
      </w:pPr>
    </w:p>
    <w:p w:rsidR="0003515E" w:rsidRPr="00BD05CF" w:rsidRDefault="0003515E" w:rsidP="0003515E">
      <w:pPr>
        <w:rPr>
          <w:rtl/>
        </w:rPr>
      </w:pPr>
    </w:p>
    <w:p w:rsidR="00C511D1" w:rsidRPr="00C511D1" w:rsidRDefault="0003515E" w:rsidP="00C511D1">
      <w:pPr>
        <w:rPr>
          <w:rtl/>
        </w:rPr>
      </w:pPr>
      <w:r w:rsidRPr="00C511D1">
        <w:rPr>
          <w:u w:val="single"/>
          <w:rtl/>
        </w:rPr>
        <w:t>תוכנית הסמינר לסמסטר א</w:t>
      </w:r>
      <w:r w:rsidR="00C511D1" w:rsidRPr="00C511D1">
        <w:rPr>
          <w:rFonts w:hint="cs"/>
          <w:rtl/>
        </w:rPr>
        <w:t xml:space="preserve"> (</w:t>
      </w:r>
      <w:r w:rsidR="00C511D1" w:rsidRPr="006D35C7">
        <w:rPr>
          <w:rFonts w:hint="cs"/>
          <w:color w:val="FF0000"/>
          <w:rtl/>
        </w:rPr>
        <w:t>ייתכנו שינויים בתוכנית הסמינר</w:t>
      </w:r>
      <w:r w:rsidR="00C511D1" w:rsidRPr="00C511D1">
        <w:rPr>
          <w:rFonts w:hint="cs"/>
          <w:rtl/>
        </w:rPr>
        <w:t>)</w:t>
      </w:r>
    </w:p>
    <w:p w:rsidR="0003515E" w:rsidRPr="00BD05CF" w:rsidRDefault="0003515E" w:rsidP="0003515E">
      <w:pPr>
        <w:rPr>
          <w:rtl/>
        </w:rPr>
      </w:pPr>
    </w:p>
    <w:p w:rsidR="0003515E" w:rsidRPr="00BD05CF" w:rsidRDefault="0003515E" w:rsidP="0003515E">
      <w:pPr>
        <w:rPr>
          <w:rtl/>
        </w:rPr>
      </w:pPr>
    </w:p>
    <w:p w:rsidR="006D35C7" w:rsidRDefault="006D35C7" w:rsidP="006D35C7">
      <w:pPr>
        <w:rPr>
          <w:rtl/>
        </w:rPr>
      </w:pPr>
      <w:r>
        <w:rPr>
          <w:rFonts w:hint="cs"/>
          <w:rtl/>
        </w:rPr>
        <w:t>25.10.17</w:t>
      </w:r>
    </w:p>
    <w:p w:rsidR="0003515E" w:rsidRPr="00BD05CF" w:rsidRDefault="0003515E" w:rsidP="0003515E">
      <w:pPr>
        <w:rPr>
          <w:rtl/>
        </w:rPr>
      </w:pPr>
      <w:r w:rsidRPr="00BD05CF">
        <w:rPr>
          <w:rtl/>
        </w:rPr>
        <w:lastRenderedPageBreak/>
        <w:t>מבוא לסמינר – גישות מרכזיות בחקר הקולוניאליזם</w:t>
      </w:r>
    </w:p>
    <w:p w:rsidR="0003515E" w:rsidRDefault="0003515E" w:rsidP="0003515E">
      <w:pPr>
        <w:rPr>
          <w:rtl/>
        </w:rPr>
      </w:pPr>
      <w:r w:rsidRPr="00BD05CF">
        <w:rPr>
          <w:rtl/>
        </w:rPr>
        <w:t xml:space="preserve">רות ג'יניאו, </w:t>
      </w:r>
      <w:r w:rsidRPr="00BD05CF">
        <w:rPr>
          <w:u w:val="single"/>
          <w:rtl/>
        </w:rPr>
        <w:t>הקולוניאליזם האירופי: אידיאולוגיה, מדיניות, התנגדות</w:t>
      </w:r>
      <w:r w:rsidRPr="00BD05CF">
        <w:rPr>
          <w:rtl/>
        </w:rPr>
        <w:t xml:space="preserve">, רעננה: האוניברסיטה הפתוחה, 2011, מבוא. </w:t>
      </w:r>
    </w:p>
    <w:p w:rsidR="00C24139" w:rsidRDefault="00C24139" w:rsidP="0003515E">
      <w:pPr>
        <w:rPr>
          <w:rtl/>
        </w:rPr>
      </w:pPr>
    </w:p>
    <w:p w:rsidR="00C24139" w:rsidRPr="00C24139" w:rsidRDefault="00C24139" w:rsidP="0003515E">
      <w:pPr>
        <w:rPr>
          <w:b/>
          <w:bCs/>
          <w:rtl/>
        </w:rPr>
      </w:pPr>
      <w:r w:rsidRPr="00C24139">
        <w:rPr>
          <w:rFonts w:hint="cs"/>
          <w:b/>
          <w:bCs/>
          <w:rtl/>
        </w:rPr>
        <w:t>הרעיון הקולוניאלי</w:t>
      </w:r>
    </w:p>
    <w:p w:rsidR="0003515E" w:rsidRPr="00BD05CF" w:rsidRDefault="0003515E" w:rsidP="0003515E">
      <w:pPr>
        <w:rPr>
          <w:rtl/>
        </w:rPr>
      </w:pPr>
    </w:p>
    <w:p w:rsidR="006D35C7" w:rsidRDefault="006D35C7" w:rsidP="006D35C7">
      <w:pPr>
        <w:rPr>
          <w:rtl/>
        </w:rPr>
      </w:pPr>
      <w:r>
        <w:rPr>
          <w:rFonts w:hint="cs"/>
          <w:rtl/>
        </w:rPr>
        <w:t>1.11.17</w:t>
      </w:r>
    </w:p>
    <w:p w:rsidR="0003515E" w:rsidRDefault="00C24139" w:rsidP="00C850B2">
      <w:pPr>
        <w:rPr>
          <w:rtl/>
        </w:rPr>
      </w:pPr>
      <w:r>
        <w:rPr>
          <w:rFonts w:hint="cs"/>
          <w:rtl/>
        </w:rPr>
        <w:t xml:space="preserve">משמעותה של המשימה המתרבתת </w:t>
      </w:r>
    </w:p>
    <w:p w:rsidR="00753526" w:rsidRDefault="00753526" w:rsidP="00753526">
      <w:pPr>
        <w:rPr>
          <w:rtl/>
        </w:rPr>
      </w:pPr>
    </w:p>
    <w:p w:rsidR="00753526" w:rsidRPr="00BD05CF" w:rsidRDefault="00753526" w:rsidP="00753526">
      <w:pPr>
        <w:rPr>
          <w:rtl/>
        </w:rPr>
      </w:pPr>
      <w:r w:rsidRPr="00BD05CF">
        <w:rPr>
          <w:rtl/>
        </w:rPr>
        <w:t xml:space="preserve">רות ג'יניאו, </w:t>
      </w:r>
      <w:r w:rsidRPr="00BD05CF">
        <w:rPr>
          <w:u w:val="single"/>
          <w:rtl/>
        </w:rPr>
        <w:t>הקולוניאליזם האירופי: אידיאולוגיה, מדיניות, התנגדות</w:t>
      </w:r>
      <w:r w:rsidRPr="00BD05CF">
        <w:rPr>
          <w:rtl/>
        </w:rPr>
        <w:t>, רעננה: האוניברסיטה הפתוחה, 2011</w:t>
      </w:r>
      <w:r w:rsidR="00790DC6">
        <w:rPr>
          <w:rFonts w:hint="cs"/>
          <w:rtl/>
        </w:rPr>
        <w:t>, פרק ב</w:t>
      </w:r>
    </w:p>
    <w:p w:rsidR="0003515E" w:rsidRPr="00BD05CF" w:rsidRDefault="0003515E" w:rsidP="0003515E">
      <w:pPr>
        <w:rPr>
          <w:rtl/>
        </w:rPr>
      </w:pPr>
    </w:p>
    <w:p w:rsidR="0003515E" w:rsidRDefault="0003515E" w:rsidP="0003515E">
      <w:pPr>
        <w:bidi w:val="0"/>
      </w:pPr>
      <w:r w:rsidRPr="00BD05CF">
        <w:t xml:space="preserve">Anne Foster, “Opium, the United States and the Civilizing Mission in Colonial South East Asia”, </w:t>
      </w:r>
      <w:r w:rsidRPr="00BD05CF">
        <w:rPr>
          <w:i/>
          <w:iCs/>
        </w:rPr>
        <w:t>Social History of Alcohol and Drugs</w:t>
      </w:r>
      <w:r w:rsidRPr="00BD05CF">
        <w:t>, 24:1, 2010, 6-19.</w:t>
      </w:r>
    </w:p>
    <w:p w:rsidR="00C850B2" w:rsidRPr="00BD05CF" w:rsidRDefault="00C850B2" w:rsidP="00C850B2">
      <w:pPr>
        <w:bidi w:val="0"/>
        <w:rPr>
          <w:rtl/>
        </w:rPr>
      </w:pPr>
    </w:p>
    <w:p w:rsidR="006D35C7" w:rsidRDefault="006D35C7" w:rsidP="006D35C7">
      <w:pPr>
        <w:rPr>
          <w:rtl/>
        </w:rPr>
      </w:pPr>
      <w:r>
        <w:rPr>
          <w:rFonts w:hint="cs"/>
          <w:rtl/>
        </w:rPr>
        <w:t>8.11.17</w:t>
      </w:r>
    </w:p>
    <w:p w:rsidR="000A7581" w:rsidRPr="00BD05CF" w:rsidRDefault="000A7581" w:rsidP="000A7581">
      <w:pPr>
        <w:spacing w:line="360" w:lineRule="auto"/>
        <w:rPr>
          <w:rtl/>
        </w:rPr>
      </w:pPr>
      <w:r w:rsidRPr="00BD05CF">
        <w:rPr>
          <w:rtl/>
        </w:rPr>
        <w:t>התערוכות הקולוניאליות</w:t>
      </w:r>
      <w:r w:rsidR="00C24139">
        <w:rPr>
          <w:rFonts w:hint="cs"/>
          <w:rtl/>
        </w:rPr>
        <w:t>: התיאוריה של "המבט האימפריאלי"</w:t>
      </w:r>
    </w:p>
    <w:p w:rsidR="0003515E" w:rsidRPr="0001021D" w:rsidRDefault="0001021D" w:rsidP="0003515E">
      <w:pPr>
        <w:rPr>
          <w:rtl/>
        </w:rPr>
      </w:pPr>
      <w:r>
        <w:rPr>
          <w:rFonts w:hint="cs"/>
          <w:rtl/>
        </w:rPr>
        <w:t xml:space="preserve">טימותי מישל, "אוריינטליזם וסדר העולם כתערוכה", </w:t>
      </w:r>
      <w:r>
        <w:rPr>
          <w:rFonts w:hint="cs"/>
          <w:u w:val="single"/>
          <w:rtl/>
        </w:rPr>
        <w:t>ג'מאעה</w:t>
      </w:r>
      <w:r>
        <w:rPr>
          <w:rFonts w:hint="cs"/>
          <w:rtl/>
        </w:rPr>
        <w:t>, ה, 100-73</w:t>
      </w:r>
    </w:p>
    <w:p w:rsidR="0003515E" w:rsidRPr="00BD05CF" w:rsidRDefault="0003515E" w:rsidP="0003515E">
      <w:pPr>
        <w:rPr>
          <w:rtl/>
        </w:rPr>
      </w:pPr>
    </w:p>
    <w:p w:rsidR="00C850B2" w:rsidRDefault="006D35C7" w:rsidP="00C850B2">
      <w:pPr>
        <w:rPr>
          <w:rtl/>
        </w:rPr>
      </w:pPr>
      <w:r>
        <w:rPr>
          <w:rFonts w:hint="cs"/>
          <w:rtl/>
        </w:rPr>
        <w:t>15.11.17</w:t>
      </w:r>
    </w:p>
    <w:p w:rsidR="00753526" w:rsidRDefault="00C24139" w:rsidP="00C850B2">
      <w:pPr>
        <w:rPr>
          <w:rtl/>
        </w:rPr>
      </w:pPr>
      <w:r>
        <w:rPr>
          <w:rFonts w:hint="cs"/>
          <w:rtl/>
        </w:rPr>
        <w:t>ה</w:t>
      </w:r>
      <w:r w:rsidR="00753526" w:rsidRPr="00BD05CF">
        <w:rPr>
          <w:rtl/>
        </w:rPr>
        <w:t xml:space="preserve">קולוניאליזם </w:t>
      </w:r>
      <w:r>
        <w:rPr>
          <w:rFonts w:hint="cs"/>
          <w:rtl/>
        </w:rPr>
        <w:t xml:space="preserve">בתרבות האירופית: </w:t>
      </w:r>
      <w:r w:rsidR="00753526" w:rsidRPr="00BD05CF">
        <w:rPr>
          <w:rtl/>
        </w:rPr>
        <w:t>קולנוע</w:t>
      </w:r>
    </w:p>
    <w:p w:rsidR="006A7777" w:rsidRPr="00BD05CF" w:rsidRDefault="006A7777" w:rsidP="00C850B2">
      <w:pPr>
        <w:rPr>
          <w:rtl/>
        </w:rPr>
      </w:pPr>
      <w:bookmarkStart w:id="0" w:name="_GoBack"/>
      <w:bookmarkEnd w:id="0"/>
    </w:p>
    <w:p w:rsidR="00753526" w:rsidRPr="0086524F" w:rsidRDefault="00753526" w:rsidP="00753526">
      <w:pPr>
        <w:bidi w:val="0"/>
        <w:spacing w:line="360" w:lineRule="auto"/>
      </w:pPr>
      <w:r>
        <w:t>Ruth Ben-</w:t>
      </w:r>
      <w:proofErr w:type="spellStart"/>
      <w:r>
        <w:t>Ghiat</w:t>
      </w:r>
      <w:proofErr w:type="spellEnd"/>
      <w:r>
        <w:t xml:space="preserve">, “The Italian Colonial Cinema: Agendas and Audiences”, </w:t>
      </w:r>
      <w:r>
        <w:rPr>
          <w:i/>
          <w:iCs/>
        </w:rPr>
        <w:t>Modern Italy</w:t>
      </w:r>
      <w:r>
        <w:t>, 8:1 (2003), 49-63.</w:t>
      </w:r>
    </w:p>
    <w:p w:rsidR="00E24AB4" w:rsidRDefault="00E24AB4" w:rsidP="002F3554">
      <w:pPr>
        <w:spacing w:line="360" w:lineRule="auto"/>
        <w:rPr>
          <w:rtl/>
        </w:rPr>
      </w:pPr>
    </w:p>
    <w:p w:rsidR="002F3554" w:rsidRPr="002F3554" w:rsidRDefault="002F3554" w:rsidP="002F3554">
      <w:pPr>
        <w:spacing w:line="360" w:lineRule="auto"/>
        <w:rPr>
          <w:rtl/>
        </w:rPr>
      </w:pPr>
      <w:r>
        <w:rPr>
          <w:rFonts w:hint="cs"/>
          <w:rtl/>
        </w:rPr>
        <w:t xml:space="preserve">דרור יזהר, "אימפריאליזם בריטי בקולנוע: הסרט התוף (1938), </w:t>
      </w:r>
      <w:r>
        <w:rPr>
          <w:rFonts w:hint="cs"/>
          <w:b/>
          <w:bCs/>
          <w:rtl/>
        </w:rPr>
        <w:t>זמנים</w:t>
      </w:r>
      <w:r>
        <w:rPr>
          <w:rFonts w:hint="cs"/>
          <w:rtl/>
        </w:rPr>
        <w:t xml:space="preserve">, 122 (2013), 103-100. </w:t>
      </w:r>
    </w:p>
    <w:p w:rsidR="0003515E" w:rsidRPr="00BD05CF" w:rsidRDefault="00753526" w:rsidP="0003515E">
      <w:pPr>
        <w:spacing w:line="360" w:lineRule="auto"/>
        <w:rPr>
          <w:rtl/>
        </w:rPr>
      </w:pPr>
      <w:r>
        <w:rPr>
          <w:rFonts w:hint="cs"/>
          <w:rtl/>
        </w:rPr>
        <w:t>במהלך השיעור נצפה בקטעים מתוך מספר סרטים קולוניאליים</w:t>
      </w:r>
    </w:p>
    <w:p w:rsidR="0003515E" w:rsidRPr="00BD05CF" w:rsidRDefault="0003515E" w:rsidP="0003515E">
      <w:pPr>
        <w:rPr>
          <w:rtl/>
        </w:rPr>
      </w:pPr>
    </w:p>
    <w:p w:rsidR="0003515E" w:rsidRPr="00BD05CF" w:rsidRDefault="0003515E" w:rsidP="0003515E">
      <w:pPr>
        <w:rPr>
          <w:rtl/>
        </w:rPr>
      </w:pPr>
    </w:p>
    <w:p w:rsidR="00C850B2" w:rsidRDefault="006D35C7" w:rsidP="00C850B2">
      <w:pPr>
        <w:rPr>
          <w:rtl/>
        </w:rPr>
      </w:pPr>
      <w:r>
        <w:rPr>
          <w:rFonts w:hint="cs"/>
          <w:rtl/>
        </w:rPr>
        <w:t>22.11.17</w:t>
      </w:r>
    </w:p>
    <w:p w:rsidR="00753526" w:rsidRPr="00BD05CF" w:rsidRDefault="00C24139" w:rsidP="00C24139">
      <w:pPr>
        <w:rPr>
          <w:rtl/>
        </w:rPr>
      </w:pPr>
      <w:r>
        <w:rPr>
          <w:rFonts w:hint="cs"/>
          <w:rtl/>
        </w:rPr>
        <w:t>ה</w:t>
      </w:r>
      <w:r w:rsidR="00753526">
        <w:rPr>
          <w:rFonts w:hint="cs"/>
          <w:rtl/>
        </w:rPr>
        <w:t xml:space="preserve">קולוניאליזם </w:t>
      </w:r>
      <w:r>
        <w:rPr>
          <w:rFonts w:hint="cs"/>
          <w:rtl/>
        </w:rPr>
        <w:t>בתרבות האירופית: ה</w:t>
      </w:r>
      <w:r w:rsidR="008D1B63">
        <w:rPr>
          <w:rFonts w:hint="cs"/>
          <w:rtl/>
        </w:rPr>
        <w:t>ו</w:t>
      </w:r>
      <w:r>
        <w:rPr>
          <w:rFonts w:hint="cs"/>
          <w:rtl/>
        </w:rPr>
        <w:t xml:space="preserve">ויכוח סביב </w:t>
      </w:r>
      <w:r w:rsidRPr="00C24139">
        <w:rPr>
          <w:rFonts w:hint="cs"/>
          <w:b/>
          <w:bCs/>
          <w:rtl/>
        </w:rPr>
        <w:t>לב החשכה</w:t>
      </w:r>
      <w:r>
        <w:rPr>
          <w:rFonts w:hint="cs"/>
          <w:rtl/>
        </w:rPr>
        <w:t xml:space="preserve"> של קונרד</w:t>
      </w:r>
    </w:p>
    <w:p w:rsidR="0003515E" w:rsidRDefault="00753526" w:rsidP="00753526">
      <w:pPr>
        <w:tabs>
          <w:tab w:val="left" w:pos="1721"/>
        </w:tabs>
        <w:rPr>
          <w:rtl/>
        </w:rPr>
      </w:pPr>
      <w:r w:rsidRPr="00BD05CF">
        <w:rPr>
          <w:rtl/>
        </w:rPr>
        <w:t xml:space="preserve">ג'וזף קונרד, </w:t>
      </w:r>
      <w:r w:rsidRPr="00E24AB4">
        <w:rPr>
          <w:b/>
          <w:bCs/>
          <w:rtl/>
        </w:rPr>
        <w:t>בלב החשכה</w:t>
      </w:r>
      <w:r w:rsidR="0003515E">
        <w:rPr>
          <w:rtl/>
        </w:rPr>
        <w:tab/>
      </w:r>
    </w:p>
    <w:p w:rsidR="0001021D" w:rsidRPr="00BD05CF" w:rsidRDefault="0001021D" w:rsidP="00753526">
      <w:pPr>
        <w:tabs>
          <w:tab w:val="left" w:pos="1721"/>
        </w:tabs>
        <w:rPr>
          <w:rtl/>
        </w:rPr>
      </w:pPr>
    </w:p>
    <w:p w:rsidR="0003515E" w:rsidRDefault="00C24139" w:rsidP="0003515E">
      <w:pPr>
        <w:rPr>
          <w:b/>
          <w:bCs/>
          <w:rtl/>
        </w:rPr>
      </w:pPr>
      <w:r>
        <w:rPr>
          <w:rFonts w:hint="cs"/>
          <w:b/>
          <w:bCs/>
          <w:rtl/>
        </w:rPr>
        <w:t>מפגשים קולוניאליים</w:t>
      </w:r>
    </w:p>
    <w:p w:rsidR="00C24139" w:rsidRPr="00C24139" w:rsidRDefault="00C24139" w:rsidP="0003515E">
      <w:pPr>
        <w:rPr>
          <w:b/>
          <w:bCs/>
        </w:rPr>
      </w:pPr>
    </w:p>
    <w:p w:rsidR="00C850B2" w:rsidRDefault="006D35C7" w:rsidP="00C850B2">
      <w:pPr>
        <w:rPr>
          <w:rtl/>
        </w:rPr>
      </w:pPr>
      <w:r>
        <w:rPr>
          <w:rFonts w:hint="cs"/>
          <w:rtl/>
        </w:rPr>
        <w:t>29.11.17</w:t>
      </w:r>
    </w:p>
    <w:p w:rsidR="008D1B63" w:rsidRPr="008D1B63" w:rsidRDefault="00B26FBE" w:rsidP="00B26FBE">
      <w:pPr>
        <w:rPr>
          <w:rtl/>
        </w:rPr>
      </w:pPr>
      <w:r>
        <w:rPr>
          <w:rFonts w:hint="cs"/>
          <w:rtl/>
        </w:rPr>
        <w:t>דרכי ההשתלטות הקולוניאלית והתגובות לה</w:t>
      </w:r>
    </w:p>
    <w:p w:rsidR="00F374A2" w:rsidRDefault="00F374A2" w:rsidP="008B574F"/>
    <w:p w:rsidR="006D35C7" w:rsidRDefault="006D35C7" w:rsidP="006D35C7">
      <w:pPr>
        <w:rPr>
          <w:rtl/>
        </w:rPr>
      </w:pPr>
      <w:r>
        <w:rPr>
          <w:rFonts w:hint="cs"/>
          <w:rtl/>
        </w:rPr>
        <w:t>6.12.17</w:t>
      </w:r>
    </w:p>
    <w:p w:rsidR="00205627" w:rsidRDefault="00205627" w:rsidP="00DB2D81">
      <w:pPr>
        <w:rPr>
          <w:rtl/>
        </w:rPr>
      </w:pPr>
    </w:p>
    <w:p w:rsidR="00B26FBE" w:rsidRPr="008D1B63" w:rsidRDefault="00B26FBE" w:rsidP="00DB2D81">
      <w:pPr>
        <w:rPr>
          <w:rtl/>
        </w:rPr>
      </w:pPr>
      <w:r>
        <w:rPr>
          <w:rFonts w:hint="cs"/>
          <w:rtl/>
        </w:rPr>
        <w:t>הקמת מנגנוני שליטה קולוניאליים</w:t>
      </w:r>
    </w:p>
    <w:p w:rsidR="00DB2D81" w:rsidRPr="00BD05CF" w:rsidRDefault="00DB2D81" w:rsidP="00DB2D81">
      <w:pPr>
        <w:bidi w:val="0"/>
        <w:rPr>
          <w:rStyle w:val="Strong"/>
          <w:b w:val="0"/>
          <w:bCs w:val="0"/>
        </w:rPr>
      </w:pPr>
    </w:p>
    <w:p w:rsidR="00DB2D81" w:rsidRPr="00753526" w:rsidRDefault="00DB2D81" w:rsidP="00DB2D81">
      <w:pPr>
        <w:rPr>
          <w:rtl/>
        </w:rPr>
      </w:pPr>
    </w:p>
    <w:p w:rsidR="008B574F" w:rsidRDefault="006D35C7" w:rsidP="008B574F">
      <w:pPr>
        <w:rPr>
          <w:rtl/>
        </w:rPr>
      </w:pPr>
      <w:r>
        <w:rPr>
          <w:rFonts w:hint="cs"/>
          <w:rtl/>
        </w:rPr>
        <w:t>13.12.17</w:t>
      </w:r>
    </w:p>
    <w:p w:rsidR="00B26FBE" w:rsidRDefault="00B26FBE" w:rsidP="008B574F">
      <w:pPr>
        <w:rPr>
          <w:rtl/>
        </w:rPr>
      </w:pPr>
      <w:r>
        <w:rPr>
          <w:rFonts w:hint="cs"/>
          <w:rtl/>
        </w:rPr>
        <w:t>שימוש באנשי ביניים</w:t>
      </w:r>
    </w:p>
    <w:p w:rsidR="0003515E" w:rsidRPr="00241725" w:rsidRDefault="0003515E" w:rsidP="00421C5F">
      <w:pPr>
        <w:bidi w:val="0"/>
      </w:pPr>
    </w:p>
    <w:p w:rsidR="008D1B63" w:rsidRDefault="006D35C7" w:rsidP="00C850B2">
      <w:pPr>
        <w:rPr>
          <w:rtl/>
        </w:rPr>
      </w:pPr>
      <w:r>
        <w:rPr>
          <w:rFonts w:hint="cs"/>
          <w:rtl/>
        </w:rPr>
        <w:t>20.12.17</w:t>
      </w:r>
    </w:p>
    <w:p w:rsidR="008D1B63" w:rsidRDefault="008D1B63" w:rsidP="008D1B63">
      <w:pPr>
        <w:bidi w:val="0"/>
      </w:pPr>
    </w:p>
    <w:p w:rsidR="00205627" w:rsidRPr="00421C5F" w:rsidRDefault="00B26FBE" w:rsidP="00205627">
      <w:pPr>
        <w:rPr>
          <w:rtl/>
        </w:rPr>
      </w:pPr>
      <w:r>
        <w:rPr>
          <w:rFonts w:hint="cs"/>
          <w:rtl/>
        </w:rPr>
        <w:t>מדיניות קולוניאלית בנושא כלכלה</w:t>
      </w:r>
    </w:p>
    <w:p w:rsidR="00205627" w:rsidRDefault="00205627" w:rsidP="008B574F">
      <w:pPr>
        <w:rPr>
          <w:rtl/>
        </w:rPr>
      </w:pPr>
    </w:p>
    <w:p w:rsidR="00CF7A94" w:rsidRDefault="00CF7A94" w:rsidP="000A7581"/>
    <w:p w:rsidR="008D1B63" w:rsidRDefault="006D35C7" w:rsidP="00C850B2">
      <w:pPr>
        <w:tabs>
          <w:tab w:val="left" w:pos="1502"/>
        </w:tabs>
        <w:rPr>
          <w:rtl/>
        </w:rPr>
      </w:pPr>
      <w:r>
        <w:rPr>
          <w:rFonts w:hint="cs"/>
          <w:rtl/>
        </w:rPr>
        <w:t>27.12.17</w:t>
      </w:r>
    </w:p>
    <w:p w:rsidR="00FB75BF" w:rsidRPr="008D1B63" w:rsidRDefault="00FB75BF" w:rsidP="00FB75BF">
      <w:pPr>
        <w:rPr>
          <w:rtl/>
        </w:rPr>
      </w:pPr>
    </w:p>
    <w:p w:rsidR="00FB75BF" w:rsidRDefault="00B26FBE" w:rsidP="00C850B2">
      <w:pPr>
        <w:tabs>
          <w:tab w:val="left" w:pos="1502"/>
        </w:tabs>
        <w:rPr>
          <w:rtl/>
        </w:rPr>
      </w:pPr>
      <w:r>
        <w:rPr>
          <w:rFonts w:hint="cs"/>
          <w:rtl/>
        </w:rPr>
        <w:t>מדיניות קולוניאלית בנושא</w:t>
      </w:r>
      <w:r w:rsidR="006D35C7">
        <w:rPr>
          <w:rFonts w:hint="cs"/>
          <w:rtl/>
        </w:rPr>
        <w:t xml:space="preserve"> חינוך</w:t>
      </w:r>
    </w:p>
    <w:p w:rsidR="006D35C7" w:rsidRPr="00B110FF" w:rsidRDefault="006D35C7" w:rsidP="006D35C7">
      <w:pPr>
        <w:bidi w:val="0"/>
      </w:pPr>
      <w:r>
        <w:t xml:space="preserve">Marie </w:t>
      </w:r>
      <w:proofErr w:type="spellStart"/>
      <w:r>
        <w:t>Paule</w:t>
      </w:r>
      <w:proofErr w:type="spellEnd"/>
      <w:r>
        <w:t xml:space="preserve"> Ha, "Symbolic Violence and Colonial Schooling in Indochina", </w:t>
      </w:r>
      <w:r>
        <w:rPr>
          <w:i/>
          <w:iCs/>
        </w:rPr>
        <w:t>French Colonial History</w:t>
      </w:r>
      <w:r>
        <w:t>, 3 (2003), 101-118</w:t>
      </w:r>
    </w:p>
    <w:p w:rsidR="0003515E" w:rsidRPr="007554CA" w:rsidRDefault="0003515E" w:rsidP="0003515E"/>
    <w:p w:rsidR="008D1B63" w:rsidRDefault="006D35C7" w:rsidP="00C850B2">
      <w:pPr>
        <w:rPr>
          <w:rtl/>
        </w:rPr>
      </w:pPr>
      <w:r>
        <w:rPr>
          <w:rFonts w:hint="cs"/>
          <w:rtl/>
        </w:rPr>
        <w:t>3.1.18</w:t>
      </w:r>
    </w:p>
    <w:p w:rsidR="006D35C7" w:rsidRDefault="006D35C7" w:rsidP="006D35C7">
      <w:pPr>
        <w:rPr>
          <w:rtl/>
        </w:rPr>
      </w:pPr>
      <w:r>
        <w:rPr>
          <w:rFonts w:hint="cs"/>
          <w:rtl/>
        </w:rPr>
        <w:t>חינוך וקולוניאליזם</w:t>
      </w:r>
    </w:p>
    <w:p w:rsidR="006D35C7" w:rsidRDefault="006D35C7" w:rsidP="006D35C7">
      <w:pPr>
        <w:rPr>
          <w:rtl/>
        </w:rPr>
      </w:pPr>
    </w:p>
    <w:p w:rsidR="006D35C7" w:rsidRDefault="006D35C7" w:rsidP="006D35C7">
      <w:pPr>
        <w:rPr>
          <w:rtl/>
        </w:rPr>
      </w:pPr>
      <w:r>
        <w:rPr>
          <w:rFonts w:hint="cs"/>
          <w:rtl/>
        </w:rPr>
        <w:t xml:space="preserve">קריאת מקור ראשוני </w:t>
      </w:r>
      <w:r>
        <w:rPr>
          <w:rtl/>
        </w:rPr>
        <w:t>–</w:t>
      </w:r>
      <w:r>
        <w:rPr>
          <w:rFonts w:hint="cs"/>
          <w:rtl/>
        </w:rPr>
        <w:t xml:space="preserve"> הדו"ח של סבינו בנושא החינוך</w:t>
      </w:r>
    </w:p>
    <w:p w:rsidR="006D35C7" w:rsidRDefault="006D35C7" w:rsidP="006D35C7">
      <w:pPr>
        <w:rPr>
          <w:rtl/>
        </w:rPr>
      </w:pPr>
    </w:p>
    <w:p w:rsidR="006D35C7" w:rsidRDefault="006D35C7" w:rsidP="006D35C7">
      <w:pPr>
        <w:rPr>
          <w:rtl/>
        </w:rPr>
      </w:pPr>
    </w:p>
    <w:p w:rsidR="00205627" w:rsidRDefault="006D35C7" w:rsidP="00C850B2">
      <w:pPr>
        <w:rPr>
          <w:rtl/>
        </w:rPr>
      </w:pPr>
      <w:r>
        <w:rPr>
          <w:rFonts w:hint="cs"/>
          <w:rtl/>
        </w:rPr>
        <w:t>10.1.18</w:t>
      </w:r>
    </w:p>
    <w:p w:rsidR="00FB75BF" w:rsidRDefault="006D35C7" w:rsidP="00C850B2">
      <w:pPr>
        <w:rPr>
          <w:rtl/>
        </w:rPr>
      </w:pPr>
      <w:r>
        <w:rPr>
          <w:rFonts w:hint="cs"/>
          <w:rtl/>
        </w:rPr>
        <w:t xml:space="preserve">הקשיים בכתיבת היסטוריה קולוניאלית </w:t>
      </w:r>
    </w:p>
    <w:p w:rsidR="006D35C7" w:rsidRDefault="006D35C7" w:rsidP="006D35C7">
      <w:pPr>
        <w:rPr>
          <w:rtl/>
        </w:rPr>
      </w:pPr>
    </w:p>
    <w:p w:rsidR="006D35C7" w:rsidRDefault="006D35C7" w:rsidP="00C850B2">
      <w:pPr>
        <w:rPr>
          <w:rtl/>
        </w:rPr>
      </w:pPr>
    </w:p>
    <w:p w:rsidR="0003515E" w:rsidRPr="00241725" w:rsidRDefault="006D35C7" w:rsidP="006D35C7">
      <w:pPr>
        <w:rPr>
          <w:rtl/>
        </w:rPr>
      </w:pPr>
      <w:r>
        <w:rPr>
          <w:rFonts w:hint="cs"/>
          <w:rtl/>
        </w:rPr>
        <w:t>17.1.18</w:t>
      </w:r>
    </w:p>
    <w:p w:rsidR="0003515E" w:rsidRDefault="00205627" w:rsidP="0003515E">
      <w:pPr>
        <w:rPr>
          <w:rtl/>
        </w:rPr>
      </w:pPr>
      <w:r>
        <w:rPr>
          <w:rFonts w:hint="cs"/>
          <w:rtl/>
        </w:rPr>
        <w:t>ספרות כמקור להבנת הקולוניאליזם</w:t>
      </w:r>
    </w:p>
    <w:p w:rsidR="00205627" w:rsidRPr="00BD05CF" w:rsidRDefault="00205627" w:rsidP="0003515E">
      <w:pPr>
        <w:rPr>
          <w:rtl/>
        </w:rPr>
      </w:pPr>
    </w:p>
    <w:p w:rsidR="0003515E" w:rsidRDefault="0003515E" w:rsidP="0003515E">
      <w:pPr>
        <w:rPr>
          <w:rtl/>
        </w:rPr>
      </w:pPr>
      <w:r w:rsidRPr="00BD05CF">
        <w:rPr>
          <w:rtl/>
        </w:rPr>
        <w:t>צ'ינואה אצ'בה, מפולת באומואופיה</w:t>
      </w:r>
      <w:r>
        <w:rPr>
          <w:rFonts w:hint="cs"/>
          <w:rtl/>
        </w:rPr>
        <w:t xml:space="preserve"> (</w:t>
      </w:r>
      <w:r>
        <w:t>Things Fall Apart</w:t>
      </w:r>
      <w:r>
        <w:rPr>
          <w:rFonts w:hint="cs"/>
          <w:rtl/>
        </w:rPr>
        <w:t>)</w:t>
      </w:r>
    </w:p>
    <w:p w:rsidR="0003515E" w:rsidRDefault="0003515E" w:rsidP="0003515E">
      <w:pPr>
        <w:rPr>
          <w:rtl/>
        </w:rPr>
      </w:pPr>
    </w:p>
    <w:p w:rsidR="00EC3B85" w:rsidRPr="0003515E" w:rsidRDefault="00EC3B85" w:rsidP="008D1B63">
      <w:r>
        <w:rPr>
          <w:rFonts w:hint="cs"/>
          <w:rtl/>
        </w:rPr>
        <w:t>אדיצ'ה ציממנדה נגוזי "ההיסטוריונית העקשנית"</w:t>
      </w:r>
      <w:r w:rsidR="00E24AB4">
        <w:rPr>
          <w:rFonts w:hint="cs"/>
          <w:rtl/>
        </w:rPr>
        <w:t xml:space="preserve"> בתוך: </w:t>
      </w:r>
      <w:r w:rsidR="00E24AB4" w:rsidRPr="00E24AB4">
        <w:rPr>
          <w:rFonts w:hint="cs"/>
          <w:b/>
          <w:bCs/>
          <w:rtl/>
        </w:rPr>
        <w:t xml:space="preserve">כרוך סביב </w:t>
      </w:r>
      <w:r w:rsidR="00205627" w:rsidRPr="00E24AB4">
        <w:rPr>
          <w:rFonts w:hint="cs"/>
          <w:b/>
          <w:bCs/>
          <w:rtl/>
        </w:rPr>
        <w:t>צווארך</w:t>
      </w:r>
    </w:p>
    <w:sectPr w:rsidR="00EC3B85" w:rsidRPr="0003515E" w:rsidSect="006448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hlMF">
    <w:altName w:val="Courier New"/>
    <w:charset w:val="B1"/>
    <w:family w:val="auto"/>
    <w:pitch w:val="variable"/>
    <w:sig w:usb0="00000800" w:usb1="40000000" w:usb2="00000000" w:usb3="00000000" w:csb0="00000020" w:csb1="00000000"/>
  </w:font>
  <w:font w:name="Cod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10"/>
    <w:rsid w:val="0001021D"/>
    <w:rsid w:val="0003515E"/>
    <w:rsid w:val="000560EB"/>
    <w:rsid w:val="00090535"/>
    <w:rsid w:val="0009339E"/>
    <w:rsid w:val="000A7581"/>
    <w:rsid w:val="000B3863"/>
    <w:rsid w:val="000C78D6"/>
    <w:rsid w:val="000D7677"/>
    <w:rsid w:val="00135610"/>
    <w:rsid w:val="00180A0A"/>
    <w:rsid w:val="001B77F5"/>
    <w:rsid w:val="001D714A"/>
    <w:rsid w:val="001E448D"/>
    <w:rsid w:val="00205627"/>
    <w:rsid w:val="00241725"/>
    <w:rsid w:val="00271FB4"/>
    <w:rsid w:val="00274F55"/>
    <w:rsid w:val="0027738C"/>
    <w:rsid w:val="002A7061"/>
    <w:rsid w:val="002C377A"/>
    <w:rsid w:val="002F3554"/>
    <w:rsid w:val="00392994"/>
    <w:rsid w:val="003E0C19"/>
    <w:rsid w:val="003E327F"/>
    <w:rsid w:val="00414039"/>
    <w:rsid w:val="00421C5F"/>
    <w:rsid w:val="00461A25"/>
    <w:rsid w:val="00533B2A"/>
    <w:rsid w:val="005348DF"/>
    <w:rsid w:val="00534A0D"/>
    <w:rsid w:val="00596EFB"/>
    <w:rsid w:val="005A160D"/>
    <w:rsid w:val="005D2ADE"/>
    <w:rsid w:val="00620BA9"/>
    <w:rsid w:val="00633434"/>
    <w:rsid w:val="006448E5"/>
    <w:rsid w:val="0065303A"/>
    <w:rsid w:val="00657983"/>
    <w:rsid w:val="00691D3F"/>
    <w:rsid w:val="006A7777"/>
    <w:rsid w:val="006B0E81"/>
    <w:rsid w:val="006D35C7"/>
    <w:rsid w:val="00720AFA"/>
    <w:rsid w:val="00753526"/>
    <w:rsid w:val="007554CA"/>
    <w:rsid w:val="00790DC6"/>
    <w:rsid w:val="007B58EC"/>
    <w:rsid w:val="007C3C16"/>
    <w:rsid w:val="007E1FF6"/>
    <w:rsid w:val="00805728"/>
    <w:rsid w:val="00853277"/>
    <w:rsid w:val="0086524F"/>
    <w:rsid w:val="0087600B"/>
    <w:rsid w:val="008908CA"/>
    <w:rsid w:val="008B574F"/>
    <w:rsid w:val="008D1B63"/>
    <w:rsid w:val="008D7EBF"/>
    <w:rsid w:val="009023C0"/>
    <w:rsid w:val="00947150"/>
    <w:rsid w:val="00965AA4"/>
    <w:rsid w:val="0098096A"/>
    <w:rsid w:val="009B3C65"/>
    <w:rsid w:val="009D679E"/>
    <w:rsid w:val="009E44A2"/>
    <w:rsid w:val="009F3CD4"/>
    <w:rsid w:val="00A048CC"/>
    <w:rsid w:val="00A4561F"/>
    <w:rsid w:val="00A64372"/>
    <w:rsid w:val="00A860D1"/>
    <w:rsid w:val="00AA23FE"/>
    <w:rsid w:val="00AC02E8"/>
    <w:rsid w:val="00AE1446"/>
    <w:rsid w:val="00B05821"/>
    <w:rsid w:val="00B110FF"/>
    <w:rsid w:val="00B26FBE"/>
    <w:rsid w:val="00B47EC0"/>
    <w:rsid w:val="00BA708E"/>
    <w:rsid w:val="00BD05CF"/>
    <w:rsid w:val="00BF08B2"/>
    <w:rsid w:val="00C24139"/>
    <w:rsid w:val="00C511D1"/>
    <w:rsid w:val="00C62D66"/>
    <w:rsid w:val="00C66463"/>
    <w:rsid w:val="00C8397E"/>
    <w:rsid w:val="00C850B2"/>
    <w:rsid w:val="00CD7319"/>
    <w:rsid w:val="00CF7A94"/>
    <w:rsid w:val="00DB2D81"/>
    <w:rsid w:val="00DE362F"/>
    <w:rsid w:val="00E24AB4"/>
    <w:rsid w:val="00E668BE"/>
    <w:rsid w:val="00EB3EC2"/>
    <w:rsid w:val="00EC3B85"/>
    <w:rsid w:val="00F01ED5"/>
    <w:rsid w:val="00F05998"/>
    <w:rsid w:val="00F374A2"/>
    <w:rsid w:val="00F61D42"/>
    <w:rsid w:val="00F6650E"/>
    <w:rsid w:val="00F90014"/>
    <w:rsid w:val="00F9195B"/>
    <w:rsid w:val="00FB0C37"/>
    <w:rsid w:val="00FB7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585F44-E514-48FA-AC43-CA112C0C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01ED5"/>
    <w:pPr>
      <w:jc w:val="center"/>
    </w:pPr>
    <w:rPr>
      <w:rFonts w:cs="David"/>
      <w:b/>
      <w:bCs/>
      <w:sz w:val="28"/>
      <w:szCs w:val="28"/>
      <w:lang w:eastAsia="he-IL"/>
    </w:rPr>
  </w:style>
  <w:style w:type="character" w:styleId="Hyperlink">
    <w:name w:val="Hyperlink"/>
    <w:basedOn w:val="DefaultParagraphFont"/>
    <w:rsid w:val="00F01ED5"/>
    <w:rPr>
      <w:color w:val="0000FF"/>
      <w:u w:val="single"/>
    </w:rPr>
  </w:style>
  <w:style w:type="character" w:styleId="Strong">
    <w:name w:val="Strong"/>
    <w:basedOn w:val="DefaultParagraphFont"/>
    <w:qFormat/>
    <w:rsid w:val="00691D3F"/>
    <w:rPr>
      <w:b/>
      <w:bCs/>
    </w:rPr>
  </w:style>
  <w:style w:type="paragraph" w:styleId="BalloonText">
    <w:name w:val="Balloon Text"/>
    <w:basedOn w:val="Normal"/>
    <w:semiHidden/>
    <w:rsid w:val="006B0E81"/>
    <w:rPr>
      <w:rFonts w:ascii="Tahoma" w:hAnsi="Tahoma" w:cs="Tahoma"/>
      <w:sz w:val="16"/>
      <w:szCs w:val="16"/>
    </w:rPr>
  </w:style>
  <w:style w:type="paragraph" w:customStyle="1" w:styleId="a">
    <w:name w:val="הערות תחתית"/>
    <w:basedOn w:val="Normal"/>
    <w:qFormat/>
    <w:rsid w:val="0065303A"/>
    <w:pPr>
      <w:tabs>
        <w:tab w:val="left" w:pos="284"/>
      </w:tabs>
      <w:overflowPunct w:val="0"/>
      <w:autoSpaceDE w:val="0"/>
      <w:autoSpaceDN w:val="0"/>
      <w:adjustRightInd w:val="0"/>
      <w:spacing w:line="240" w:lineRule="exact"/>
      <w:ind w:left="284" w:hanging="284"/>
      <w:jc w:val="both"/>
      <w:textAlignment w:val="baseline"/>
    </w:pPr>
    <w:rPr>
      <w:rFonts w:cs="FrankRuhlMF"/>
      <w:sz w:val="18"/>
      <w:szCs w:val="20"/>
    </w:rPr>
  </w:style>
  <w:style w:type="paragraph" w:customStyle="1" w:styleId="Default">
    <w:name w:val="Default"/>
    <w:rsid w:val="00A860D1"/>
    <w:pPr>
      <w:autoSpaceDE w:val="0"/>
      <w:autoSpaceDN w:val="0"/>
      <w:adjustRightInd w:val="0"/>
    </w:pPr>
    <w:rPr>
      <w:rFonts w:ascii="Code" w:hAnsi="Code" w:cs="Code"/>
      <w:color w:val="000000"/>
      <w:sz w:val="24"/>
      <w:szCs w:val="24"/>
    </w:rPr>
  </w:style>
  <w:style w:type="character" w:customStyle="1" w:styleId="medium-font">
    <w:name w:val="medium-font"/>
    <w:basedOn w:val="DefaultParagraphFont"/>
    <w:rsid w:val="00F9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ginio@bgu.ac.i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670</Words>
  <Characters>3351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אירופה מעבר לים</vt:lpstr>
    </vt:vector>
  </TitlesOfParts>
  <Company>BGU</Company>
  <LinksUpToDate>false</LinksUpToDate>
  <CharactersWithSpaces>4013</CharactersWithSpaces>
  <SharedDoc>false</SharedDoc>
  <HLinks>
    <vt:vector size="6" baseType="variant">
      <vt:variant>
        <vt:i4>1245300</vt:i4>
      </vt:variant>
      <vt:variant>
        <vt:i4>3</vt:i4>
      </vt:variant>
      <vt:variant>
        <vt:i4>0</vt:i4>
      </vt:variant>
      <vt:variant>
        <vt:i4>5</vt:i4>
      </vt:variant>
      <vt:variant>
        <vt:lpwstr>mailto:rginio@bgu.ac.il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אירופה מעבר לים</dc:title>
  <dc:creator>MDHR User</dc:creator>
  <cp:lastModifiedBy>Owner</cp:lastModifiedBy>
  <cp:revision>4</cp:revision>
  <cp:lastPrinted>2008-11-16T17:57:00Z</cp:lastPrinted>
  <dcterms:created xsi:type="dcterms:W3CDTF">2017-07-16T15:03:00Z</dcterms:created>
  <dcterms:modified xsi:type="dcterms:W3CDTF">2017-07-24T08:17:00Z</dcterms:modified>
</cp:coreProperties>
</file>