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4A7" w:rsidRPr="00D05254" w:rsidRDefault="00BE24A7" w:rsidP="00BE24A7">
      <w:pPr>
        <w:jc w:val="center"/>
        <w:rPr>
          <w:rFonts w:cs="David"/>
        </w:rPr>
      </w:pPr>
      <w:r w:rsidRPr="00D05254">
        <w:rPr>
          <w:rFonts w:cs="David"/>
          <w:noProof/>
        </w:rPr>
        <w:drawing>
          <wp:inline distT="0" distB="0" distL="0" distR="0" wp14:anchorId="40030420" wp14:editId="4EC21006">
            <wp:extent cx="494030" cy="572770"/>
            <wp:effectExtent l="0" t="0" r="1270" b="0"/>
            <wp:docPr id="1" name="תמונה 1" descr="B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U"/>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94030" cy="572770"/>
                    </a:xfrm>
                    <a:prstGeom prst="rect">
                      <a:avLst/>
                    </a:prstGeom>
                    <a:noFill/>
                    <a:ln>
                      <a:noFill/>
                    </a:ln>
                  </pic:spPr>
                </pic:pic>
              </a:graphicData>
            </a:graphic>
          </wp:inline>
        </w:drawing>
      </w:r>
    </w:p>
    <w:p w:rsidR="00BE24A7" w:rsidRPr="00D05254" w:rsidRDefault="00BE24A7" w:rsidP="00BE24A7">
      <w:pPr>
        <w:pStyle w:val="a3"/>
        <w:rPr>
          <w:b w:val="0"/>
          <w:bCs w:val="0"/>
          <w:rtl/>
        </w:rPr>
      </w:pPr>
      <w:r w:rsidRPr="00D05254">
        <w:rPr>
          <w:b w:val="0"/>
          <w:bCs w:val="0"/>
          <w:rtl/>
        </w:rPr>
        <w:t>אוניברסיטת בן-גוריון בנגב</w:t>
      </w:r>
    </w:p>
    <w:p w:rsidR="00BE24A7" w:rsidRPr="00D05254" w:rsidRDefault="00BE24A7" w:rsidP="00BE24A7">
      <w:pPr>
        <w:jc w:val="center"/>
        <w:rPr>
          <w:rtl/>
        </w:rPr>
      </w:pPr>
      <w:r w:rsidRPr="00D05254">
        <w:rPr>
          <w:rFonts w:cs="David"/>
          <w:sz w:val="28"/>
          <w:szCs w:val="28"/>
          <w:rtl/>
        </w:rPr>
        <w:t>הפקולטה למדעי הרוח והחברה</w:t>
      </w:r>
    </w:p>
    <w:p w:rsidR="00BE24A7" w:rsidRPr="00D05254" w:rsidRDefault="00BE24A7" w:rsidP="00BE24A7">
      <w:pPr>
        <w:jc w:val="center"/>
        <w:rPr>
          <w:rtl/>
        </w:rPr>
      </w:pPr>
    </w:p>
    <w:p w:rsidR="00BE24A7" w:rsidRDefault="00EB7BF2" w:rsidP="00BE24A7">
      <w:pPr>
        <w:pStyle w:val="a4"/>
        <w:jc w:val="center"/>
        <w:rPr>
          <w:rFonts w:ascii="Arial" w:hAnsi="Arial" w:cs="Arial" w:hint="cs"/>
          <w:b w:val="0"/>
          <w:bCs w:val="0"/>
          <w:u w:val="single"/>
          <w:rtl/>
        </w:rPr>
      </w:pPr>
      <w:r>
        <w:rPr>
          <w:rFonts w:ascii="Arial" w:hAnsi="Arial" w:cs="Arial"/>
          <w:b w:val="0"/>
          <w:bCs w:val="0"/>
          <w:u w:val="single"/>
          <w:rtl/>
        </w:rPr>
        <w:t>תשע"</w:t>
      </w:r>
      <w:r>
        <w:rPr>
          <w:rFonts w:ascii="Arial" w:hAnsi="Arial" w:cs="Arial" w:hint="cs"/>
          <w:b w:val="0"/>
          <w:bCs w:val="0"/>
          <w:u w:val="single"/>
          <w:rtl/>
        </w:rPr>
        <w:t>ח</w:t>
      </w:r>
      <w:r>
        <w:rPr>
          <w:rFonts w:ascii="Arial" w:hAnsi="Arial" w:cs="Arial"/>
          <w:b w:val="0"/>
          <w:bCs w:val="0"/>
          <w:u w:val="single"/>
          <w:rtl/>
        </w:rPr>
        <w:t xml:space="preserve"> – 201</w:t>
      </w:r>
      <w:r>
        <w:rPr>
          <w:rFonts w:ascii="Arial" w:hAnsi="Arial" w:cs="Arial" w:hint="cs"/>
          <w:b w:val="0"/>
          <w:bCs w:val="0"/>
          <w:u w:val="single"/>
          <w:rtl/>
        </w:rPr>
        <w:t>7-2018</w:t>
      </w:r>
    </w:p>
    <w:p w:rsidR="00EB7BF2" w:rsidRDefault="00EB7BF2" w:rsidP="00BE24A7">
      <w:pPr>
        <w:pStyle w:val="a4"/>
        <w:jc w:val="center"/>
        <w:rPr>
          <w:rFonts w:ascii="Arial" w:hAnsi="Arial" w:cs="Arial" w:hint="cs"/>
          <w:b w:val="0"/>
          <w:bCs w:val="0"/>
          <w:u w:val="single"/>
          <w:rtl/>
        </w:rPr>
      </w:pPr>
    </w:p>
    <w:p w:rsidR="00EB7BF2" w:rsidRPr="00EB7BF2" w:rsidRDefault="00EB7BF2" w:rsidP="00BE24A7">
      <w:pPr>
        <w:pStyle w:val="a4"/>
        <w:jc w:val="center"/>
        <w:rPr>
          <w:rFonts w:ascii="Arial" w:hAnsi="Arial" w:cs="Arial" w:hint="cs"/>
          <w:b w:val="0"/>
          <w:bCs w:val="0"/>
          <w:rtl/>
        </w:rPr>
      </w:pPr>
      <w:r>
        <w:rPr>
          <w:rFonts w:ascii="Arial" w:hAnsi="Arial" w:cs="Arial" w:hint="cs"/>
          <w:b w:val="0"/>
          <w:bCs w:val="0"/>
          <w:rtl/>
        </w:rPr>
        <w:t>ד"ר. לאונרדו כהן</w:t>
      </w:r>
    </w:p>
    <w:p w:rsidR="00EB7BF2" w:rsidRDefault="00EB7BF2" w:rsidP="00BE24A7">
      <w:pPr>
        <w:pStyle w:val="a4"/>
        <w:jc w:val="center"/>
        <w:rPr>
          <w:rFonts w:ascii="Arial" w:hAnsi="Arial" w:cs="Arial" w:hint="cs"/>
          <w:b w:val="0"/>
          <w:bCs w:val="0"/>
          <w:u w:val="single"/>
          <w:rtl/>
        </w:rPr>
      </w:pPr>
    </w:p>
    <w:p w:rsidR="00EB7BF2" w:rsidRDefault="00EB7BF2" w:rsidP="00EB7BF2">
      <w:pPr>
        <w:jc w:val="center"/>
        <w:rPr>
          <w:rtl/>
          <w:lang w:val="es-MX"/>
        </w:rPr>
      </w:pPr>
      <w:r>
        <w:rPr>
          <w:rFonts w:hint="cs"/>
          <w:rtl/>
          <w:lang w:val="es-MX"/>
        </w:rPr>
        <w:t>המחלקה למזרח התיכון והתוכנית הבין-אוניברסיטאי ללימודי אפריקה</w:t>
      </w:r>
    </w:p>
    <w:p w:rsidR="00EB7BF2" w:rsidRDefault="00EB7BF2" w:rsidP="00EB7BF2">
      <w:pPr>
        <w:jc w:val="center"/>
        <w:rPr>
          <w:rFonts w:hint="cs"/>
          <w:rtl/>
          <w:lang w:val="es-MX"/>
        </w:rPr>
      </w:pPr>
    </w:p>
    <w:p w:rsidR="00EB7BF2" w:rsidRPr="00EB7BF2" w:rsidRDefault="00EB7BF2" w:rsidP="00EB7BF2">
      <w:pPr>
        <w:jc w:val="center"/>
        <w:rPr>
          <w:rtl/>
          <w:lang w:val="es-MX"/>
        </w:rPr>
      </w:pPr>
      <w:r w:rsidRPr="00EB7BF2">
        <w:rPr>
          <w:rFonts w:cs="David" w:hint="cs"/>
          <w:b/>
          <w:bCs/>
          <w:sz w:val="24"/>
          <w:szCs w:val="24"/>
          <w:rtl/>
        </w:rPr>
        <w:t>נצרות, יהדות ואסלאם באתיופיה: ספרות, היסטוריה, דת</w:t>
      </w:r>
    </w:p>
    <w:p w:rsidR="00EB7BF2" w:rsidRDefault="00EB7BF2" w:rsidP="00EB7BF2">
      <w:pPr>
        <w:jc w:val="center"/>
        <w:rPr>
          <w:rtl/>
          <w:lang w:val="es-MX"/>
        </w:rPr>
      </w:pPr>
      <w:r>
        <w:rPr>
          <w:rFonts w:hint="cs"/>
          <w:rtl/>
          <w:lang w:val="es-MX"/>
        </w:rPr>
        <w:t>קורס שנתי</w:t>
      </w:r>
    </w:p>
    <w:p w:rsidR="00EB7BF2" w:rsidRDefault="00EB7BF2" w:rsidP="00EB7BF2">
      <w:pPr>
        <w:jc w:val="center"/>
        <w:rPr>
          <w:rtl/>
          <w:lang w:val="es-MX"/>
        </w:rPr>
      </w:pPr>
    </w:p>
    <w:p w:rsidR="00EB7BF2" w:rsidRPr="00EB7BF2" w:rsidRDefault="00EB7BF2" w:rsidP="00EB7BF2">
      <w:pPr>
        <w:jc w:val="center"/>
        <w:rPr>
          <w:rtl/>
          <w:lang w:val="es-MX"/>
        </w:rPr>
      </w:pPr>
      <w:r>
        <w:rPr>
          <w:rFonts w:hint="cs"/>
          <w:rtl/>
          <w:lang w:val="es-MX"/>
        </w:rPr>
        <w:t>שעת קבלה בסמסטר</w:t>
      </w:r>
      <w:r>
        <w:rPr>
          <w:rFonts w:hint="cs"/>
          <w:rtl/>
          <w:lang w:val="es-MX"/>
        </w:rPr>
        <w:t xml:space="preserve"> א: יום ב 17:00-18:00. סמסטר</w:t>
      </w:r>
      <w:r>
        <w:rPr>
          <w:rFonts w:hint="cs"/>
          <w:rtl/>
          <w:lang w:val="es-MX"/>
        </w:rPr>
        <w:t xml:space="preserve"> ב:</w:t>
      </w:r>
      <w:r>
        <w:rPr>
          <w:rFonts w:hint="cs"/>
          <w:rtl/>
          <w:lang w:val="es-MX"/>
        </w:rPr>
        <w:t xml:space="preserve"> יום ב</w:t>
      </w:r>
      <w:r>
        <w:rPr>
          <w:rFonts w:hint="cs"/>
          <w:rtl/>
          <w:lang w:val="es-MX"/>
        </w:rPr>
        <w:t xml:space="preserve"> 15:00-16:00</w:t>
      </w:r>
    </w:p>
    <w:p w:rsidR="001C2904" w:rsidRPr="00D05254" w:rsidRDefault="001C2904" w:rsidP="00BE24A7">
      <w:pPr>
        <w:jc w:val="center"/>
        <w:rPr>
          <w:rFonts w:ascii="Arial" w:hAnsi="Arial" w:cs="Arial"/>
          <w:rtl/>
        </w:rPr>
      </w:pPr>
    </w:p>
    <w:p w:rsidR="00EB7BF2" w:rsidRDefault="00EB7BF2" w:rsidP="00EB7BF2">
      <w:pPr>
        <w:jc w:val="both"/>
        <w:rPr>
          <w:rFonts w:hint="cs"/>
          <w:rtl/>
          <w:lang w:val="es-MX"/>
        </w:rPr>
      </w:pPr>
      <w:r>
        <w:rPr>
          <w:rFonts w:hint="cs"/>
          <w:rtl/>
          <w:lang w:val="es-MX"/>
        </w:rPr>
        <w:t>הקורס המו</w:t>
      </w:r>
      <w:r>
        <w:rPr>
          <w:rFonts w:hint="cs"/>
          <w:rtl/>
          <w:lang w:val="es-MX"/>
        </w:rPr>
        <w:t>צע עוסק בהיסטוריה של שלושת הדתות</w:t>
      </w:r>
      <w:r>
        <w:rPr>
          <w:rFonts w:hint="cs"/>
          <w:rtl/>
          <w:lang w:val="es-MX"/>
        </w:rPr>
        <w:t xml:space="preserve"> באתיופיה  דרך הקריאה של מקורות ראשוניים.  הקורס דורש מהסטודנטים קריאה שבועית של מקורות היסטור</w:t>
      </w:r>
      <w:r>
        <w:rPr>
          <w:rFonts w:hint="cs"/>
          <w:rtl/>
          <w:lang w:val="es-MX"/>
        </w:rPr>
        <w:t>י</w:t>
      </w:r>
      <w:r>
        <w:rPr>
          <w:rFonts w:hint="cs"/>
          <w:rtl/>
          <w:lang w:val="es-MX"/>
        </w:rPr>
        <w:t>ים וספרותיים, הנוגעים באופן ישיר לתולדותיה של אתיופיה. ידיעת השפה האנגלית חובה לצורך קריאה וניתוח של הטקסטים. בעזרת מקורות פנימיים וחיצוניים, הסטודנטים ילמדו על ההיסטוריה של אתיופיה מתקופת אקסום ועד המאה ה20 ויתמודדו עם שאלות מתודולוגיות והיסטוריוגרפיות. מצופה מכל הסטודנטים להשתתף השתתפות פעילה, לבחור מקור ולהגיש רפרט בעל פה במהלך השנה וגם ולהגיש עבודה בכתב בסוף השנה.</w:t>
      </w:r>
    </w:p>
    <w:p w:rsidR="00EB7BF2" w:rsidRDefault="00EB7BF2" w:rsidP="00EB7BF2">
      <w:pPr>
        <w:jc w:val="both"/>
        <w:rPr>
          <w:rFonts w:hint="cs"/>
          <w:rtl/>
          <w:lang w:val="es-MX"/>
        </w:rPr>
      </w:pPr>
      <w:r>
        <w:rPr>
          <w:rFonts w:hint="cs"/>
          <w:rtl/>
          <w:lang w:val="es-MX"/>
        </w:rPr>
        <w:t>4 נקודות</w:t>
      </w:r>
    </w:p>
    <w:p w:rsidR="00EB7BF2" w:rsidRDefault="00EB7BF2" w:rsidP="00EB7BF2">
      <w:pPr>
        <w:jc w:val="both"/>
        <w:rPr>
          <w:rtl/>
          <w:lang w:val="es-MX"/>
        </w:rPr>
      </w:pPr>
      <w:r>
        <w:rPr>
          <w:rFonts w:hint="cs"/>
          <w:rtl/>
          <w:lang w:val="es-MX"/>
        </w:rPr>
        <w:t>מילות מפתח: אתיופיה, נצרות, יהדות, אסלאם.</w:t>
      </w:r>
    </w:p>
    <w:p w:rsidR="00EB7BF2" w:rsidRDefault="00EB7BF2" w:rsidP="00EB7BF2">
      <w:pPr>
        <w:rPr>
          <w:rFonts w:cs="David" w:hint="cs"/>
          <w:sz w:val="24"/>
          <w:szCs w:val="24"/>
          <w:rtl/>
        </w:rPr>
      </w:pPr>
    </w:p>
    <w:p w:rsidR="00EB7BF2" w:rsidRDefault="00EB7BF2" w:rsidP="00EB7BF2">
      <w:pPr>
        <w:rPr>
          <w:rFonts w:cs="David" w:hint="cs"/>
          <w:sz w:val="24"/>
          <w:szCs w:val="24"/>
          <w:rtl/>
        </w:rPr>
      </w:pPr>
    </w:p>
    <w:p w:rsidR="00EB7BF2" w:rsidRPr="00EB7BF2" w:rsidRDefault="00EB7BF2" w:rsidP="00EB7BF2">
      <w:pPr>
        <w:bidi w:val="0"/>
        <w:rPr>
          <w:rFonts w:cs="David"/>
          <w:sz w:val="24"/>
          <w:szCs w:val="24"/>
        </w:rPr>
      </w:pPr>
      <w:r w:rsidRPr="00EB7BF2">
        <w:rPr>
          <w:rFonts w:cs="David"/>
          <w:b/>
          <w:bCs/>
          <w:sz w:val="24"/>
          <w:szCs w:val="24"/>
        </w:rPr>
        <w:t>Christianity, Isl</w:t>
      </w:r>
      <w:r>
        <w:rPr>
          <w:rFonts w:cs="David"/>
          <w:b/>
          <w:bCs/>
          <w:sz w:val="24"/>
          <w:szCs w:val="24"/>
        </w:rPr>
        <w:t>am and Judaism in Ethiopia: Lit</w:t>
      </w:r>
      <w:r w:rsidRPr="00EB7BF2">
        <w:rPr>
          <w:rFonts w:cs="David"/>
          <w:b/>
          <w:bCs/>
          <w:sz w:val="24"/>
          <w:szCs w:val="24"/>
        </w:rPr>
        <w:t xml:space="preserve">erature, History and Religion </w:t>
      </w:r>
      <w:r w:rsidRPr="00EB7BF2">
        <w:rPr>
          <w:rFonts w:cs="David"/>
          <w:b/>
          <w:bCs/>
          <w:sz w:val="24"/>
          <w:szCs w:val="24"/>
          <w:rtl/>
        </w:rPr>
        <w:t xml:space="preserve"> </w:t>
      </w:r>
    </w:p>
    <w:p w:rsidR="00EB7BF2" w:rsidRDefault="00EB7BF2" w:rsidP="00EB7B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inherit" w:hAnsi="inherit" w:cs="Courier New"/>
          <w:color w:val="212121"/>
        </w:rPr>
      </w:pPr>
      <w:r w:rsidRPr="007F788C">
        <w:rPr>
          <w:rFonts w:ascii="inherit" w:hAnsi="inherit" w:cs="Courier New"/>
          <w:color w:val="212121"/>
          <w:lang w:val="en"/>
        </w:rPr>
        <w:t>The proposed course deals with</w:t>
      </w:r>
      <w:r>
        <w:rPr>
          <w:rFonts w:ascii="inherit" w:hAnsi="inherit" w:cs="Courier New"/>
          <w:color w:val="212121"/>
          <w:lang w:val="en"/>
        </w:rPr>
        <w:t xml:space="preserve"> the history of the three religions</w:t>
      </w:r>
      <w:r w:rsidRPr="007F788C">
        <w:rPr>
          <w:rFonts w:ascii="inherit" w:hAnsi="inherit" w:cs="Courier New"/>
          <w:color w:val="212121"/>
          <w:lang w:val="en"/>
        </w:rPr>
        <w:t xml:space="preserve"> in Ethiopia through the reading of primary sources. The course requires students to read weekly historical and literary sources that relate directly to the history of Ethiopia. Knowledge of English is required to read and </w:t>
      </w:r>
      <w:r>
        <w:rPr>
          <w:rFonts w:ascii="inherit" w:hAnsi="inherit" w:cs="Courier New"/>
          <w:color w:val="212121"/>
          <w:lang w:val="en"/>
        </w:rPr>
        <w:t>analyze the texts. With inner and foreign</w:t>
      </w:r>
      <w:r w:rsidRPr="007F788C">
        <w:rPr>
          <w:rFonts w:ascii="inherit" w:hAnsi="inherit" w:cs="Courier New"/>
          <w:color w:val="212121"/>
          <w:lang w:val="en"/>
        </w:rPr>
        <w:t xml:space="preserve"> sources, students will learn about the history of Ethiopia from the period of Axum to the 20th century and will deal with methodological </w:t>
      </w:r>
      <w:r>
        <w:rPr>
          <w:rFonts w:ascii="inherit" w:hAnsi="inherit" w:cs="Courier New"/>
          <w:color w:val="212121"/>
          <w:lang w:val="en"/>
        </w:rPr>
        <w:t>and historiographical questions</w:t>
      </w:r>
      <w:r w:rsidRPr="007F788C">
        <w:rPr>
          <w:rFonts w:ascii="inherit" w:hAnsi="inherit" w:cs="Courier New"/>
          <w:color w:val="212121"/>
          <w:lang w:val="en"/>
        </w:rPr>
        <w:t>. All students</w:t>
      </w:r>
      <w:r>
        <w:rPr>
          <w:rFonts w:ascii="inherit" w:hAnsi="inherit" w:cs="Courier New"/>
          <w:color w:val="212121"/>
          <w:lang w:val="en"/>
        </w:rPr>
        <w:t xml:space="preserve"> are expected to participate</w:t>
      </w:r>
      <w:r w:rsidRPr="007F788C">
        <w:rPr>
          <w:rFonts w:ascii="inherit" w:hAnsi="inherit" w:cs="Courier New"/>
          <w:color w:val="212121"/>
          <w:lang w:val="en"/>
        </w:rPr>
        <w:t xml:space="preserve">, </w:t>
      </w:r>
      <w:r>
        <w:rPr>
          <w:rFonts w:ascii="inherit" w:hAnsi="inherit" w:cs="Courier New"/>
          <w:color w:val="212121"/>
          <w:lang w:val="en"/>
        </w:rPr>
        <w:t xml:space="preserve">to </w:t>
      </w:r>
      <w:r w:rsidRPr="007F788C">
        <w:rPr>
          <w:rFonts w:ascii="inherit" w:hAnsi="inherit" w:cs="Courier New"/>
          <w:color w:val="212121"/>
          <w:lang w:val="en"/>
        </w:rPr>
        <w:t>choose a sou</w:t>
      </w:r>
      <w:r>
        <w:rPr>
          <w:rFonts w:ascii="inherit" w:hAnsi="inherit" w:cs="Courier New"/>
          <w:color w:val="212121"/>
          <w:lang w:val="en"/>
        </w:rPr>
        <w:t>rce and submit an oral exposition during the course</w:t>
      </w:r>
      <w:r w:rsidRPr="007F788C">
        <w:rPr>
          <w:rFonts w:ascii="inherit" w:hAnsi="inherit" w:cs="Courier New"/>
          <w:color w:val="212121"/>
          <w:lang w:val="en"/>
        </w:rPr>
        <w:t xml:space="preserve"> and submit </w:t>
      </w:r>
      <w:r>
        <w:rPr>
          <w:rFonts w:ascii="inherit" w:hAnsi="inherit" w:cs="Courier New"/>
          <w:color w:val="212121"/>
          <w:lang w:val="en"/>
        </w:rPr>
        <w:t xml:space="preserve">a </w:t>
      </w:r>
      <w:r w:rsidRPr="007F788C">
        <w:rPr>
          <w:rFonts w:ascii="inherit" w:hAnsi="inherit" w:cs="Courier New"/>
          <w:color w:val="212121"/>
          <w:lang w:val="en"/>
        </w:rPr>
        <w:t>written</w:t>
      </w:r>
      <w:r>
        <w:rPr>
          <w:rFonts w:ascii="inherit" w:hAnsi="inherit" w:cs="Courier New"/>
          <w:color w:val="212121"/>
          <w:lang w:val="en"/>
        </w:rPr>
        <w:t xml:space="preserve"> work at the end of the year</w:t>
      </w:r>
      <w:r w:rsidRPr="007F788C">
        <w:rPr>
          <w:rFonts w:ascii="inherit" w:hAnsi="inherit" w:cs="Courier New"/>
          <w:color w:val="212121"/>
          <w:lang w:val="en"/>
        </w:rPr>
        <w:t>.</w:t>
      </w:r>
    </w:p>
    <w:p w:rsidR="00EB7BF2" w:rsidRDefault="00EB7BF2" w:rsidP="00EB7B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inherit" w:hAnsi="inherit" w:cs="Courier New"/>
          <w:color w:val="212121"/>
        </w:rPr>
      </w:pPr>
      <w:proofErr w:type="gramStart"/>
      <w:r>
        <w:rPr>
          <w:rFonts w:ascii="inherit" w:hAnsi="inherit" w:cs="Courier New"/>
          <w:color w:val="212121"/>
        </w:rPr>
        <w:lastRenderedPageBreak/>
        <w:t>2 points.</w:t>
      </w:r>
      <w:proofErr w:type="gramEnd"/>
    </w:p>
    <w:p w:rsidR="00EB7BF2" w:rsidRPr="007F788C" w:rsidRDefault="00EB7BF2" w:rsidP="00EB7B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inherit" w:hAnsi="inherit" w:cs="Courier New"/>
          <w:color w:val="212121"/>
        </w:rPr>
      </w:pPr>
      <w:r>
        <w:rPr>
          <w:rFonts w:ascii="inherit" w:hAnsi="inherit" w:cs="Courier New"/>
          <w:color w:val="212121"/>
        </w:rPr>
        <w:t>Keywords: Ethiopia, Christianity, Judaism, Islam</w:t>
      </w:r>
    </w:p>
    <w:p w:rsidR="00EB7BF2" w:rsidRDefault="00EB7BF2" w:rsidP="00EB7BF2">
      <w:pPr>
        <w:rPr>
          <w:rFonts w:cs="David" w:hint="cs"/>
          <w:sz w:val="24"/>
          <w:szCs w:val="24"/>
          <w:rtl/>
        </w:rPr>
      </w:pPr>
    </w:p>
    <w:p w:rsidR="00EB7BF2" w:rsidRDefault="00EB7BF2" w:rsidP="00EB7BF2">
      <w:pPr>
        <w:rPr>
          <w:rFonts w:cs="David" w:hint="cs"/>
          <w:sz w:val="24"/>
          <w:szCs w:val="24"/>
          <w:rtl/>
        </w:rPr>
      </w:pPr>
    </w:p>
    <w:p w:rsidR="00EB7BF2" w:rsidRPr="00FB72F8" w:rsidRDefault="00EB7BF2" w:rsidP="00EB7BF2">
      <w:pPr>
        <w:rPr>
          <w:rtl/>
        </w:rPr>
      </w:pPr>
      <w:r>
        <w:rPr>
          <w:rFonts w:hint="cs"/>
          <w:rtl/>
        </w:rPr>
        <w:t>נוכחות חובה</w:t>
      </w:r>
    </w:p>
    <w:p w:rsidR="00EB7BF2" w:rsidRPr="00FB72F8" w:rsidRDefault="00EB7BF2" w:rsidP="00EB7BF2">
      <w:pPr>
        <w:rPr>
          <w:rtl/>
        </w:rPr>
      </w:pPr>
      <w:r w:rsidRPr="00FB72F8">
        <w:rPr>
          <w:rtl/>
        </w:rPr>
        <w:t>הרכב הציון בקורס בחלוקה ל</w:t>
      </w:r>
      <w:r>
        <w:rPr>
          <w:rtl/>
        </w:rPr>
        <w:t xml:space="preserve">אחוזים: </w:t>
      </w:r>
      <w:r>
        <w:rPr>
          <w:rFonts w:hint="cs"/>
          <w:rtl/>
        </w:rPr>
        <w:t>3</w:t>
      </w:r>
      <w:bookmarkStart w:id="0" w:name="_GoBack"/>
      <w:bookmarkEnd w:id="0"/>
      <w:r>
        <w:rPr>
          <w:rFonts w:hint="cs"/>
          <w:rtl/>
        </w:rPr>
        <w:t>0%</w:t>
      </w:r>
      <w:r>
        <w:rPr>
          <w:rtl/>
        </w:rPr>
        <w:t xml:space="preserve"> נוכחות והשתתפות,</w:t>
      </w:r>
      <w:r>
        <w:rPr>
          <w:rFonts w:hint="cs"/>
          <w:rtl/>
        </w:rPr>
        <w:t xml:space="preserve"> 7</w:t>
      </w:r>
      <w:r>
        <w:rPr>
          <w:rFonts w:hint="cs"/>
          <w:rtl/>
        </w:rPr>
        <w:t>0%</w:t>
      </w:r>
      <w:r>
        <w:rPr>
          <w:rtl/>
        </w:rPr>
        <w:t xml:space="preserve"> </w:t>
      </w:r>
      <w:r>
        <w:rPr>
          <w:rFonts w:hint="cs"/>
          <w:rtl/>
        </w:rPr>
        <w:t>עבודה</w:t>
      </w:r>
    </w:p>
    <w:p w:rsidR="00EB7BF2" w:rsidRPr="00EB7BF2" w:rsidRDefault="00EB7BF2" w:rsidP="00EB7BF2">
      <w:pPr>
        <w:rPr>
          <w:rFonts w:cs="David" w:hint="cs"/>
          <w:sz w:val="24"/>
          <w:szCs w:val="24"/>
          <w:rtl/>
        </w:rPr>
      </w:pPr>
    </w:p>
    <w:p w:rsidR="00B021E1" w:rsidRPr="00D05254" w:rsidRDefault="00B021E1" w:rsidP="00BE24A7">
      <w:pPr>
        <w:jc w:val="center"/>
        <w:rPr>
          <w:rFonts w:ascii="Arial" w:hAnsi="Arial" w:cs="Arial"/>
          <w:rtl/>
        </w:rPr>
      </w:pPr>
    </w:p>
    <w:p w:rsidR="00B021E1" w:rsidRPr="007616D3" w:rsidRDefault="00B021E1" w:rsidP="00B021E1">
      <w:pPr>
        <w:rPr>
          <w:b/>
          <w:bCs/>
          <w:rtl/>
          <w:lang w:val="es-MX"/>
        </w:rPr>
      </w:pPr>
      <w:r w:rsidRPr="007616D3">
        <w:rPr>
          <w:rFonts w:hint="cs"/>
          <w:b/>
          <w:bCs/>
          <w:rtl/>
          <w:lang w:val="es-MX"/>
        </w:rPr>
        <w:t xml:space="preserve">1 מבוא: </w:t>
      </w:r>
      <w:r w:rsidR="008F287C" w:rsidRPr="007616D3">
        <w:rPr>
          <w:rFonts w:hint="cs"/>
          <w:b/>
          <w:bCs/>
          <w:rtl/>
          <w:lang w:val="es-MX"/>
        </w:rPr>
        <w:t>אתיופיה, בין המזרח התיכון לאפריקה.</w:t>
      </w:r>
    </w:p>
    <w:p w:rsidR="008F287C" w:rsidRPr="007616D3" w:rsidRDefault="008F287C" w:rsidP="00B021E1">
      <w:pPr>
        <w:rPr>
          <w:b/>
          <w:bCs/>
          <w:rtl/>
          <w:lang w:val="es-MX"/>
        </w:rPr>
      </w:pPr>
      <w:r w:rsidRPr="007616D3">
        <w:rPr>
          <w:rFonts w:hint="cs"/>
          <w:b/>
          <w:bCs/>
          <w:rtl/>
          <w:lang w:val="es-MX"/>
        </w:rPr>
        <w:t>2 נצרות באתיופיה</w:t>
      </w:r>
    </w:p>
    <w:p w:rsidR="00E21A49" w:rsidRPr="00D05254" w:rsidRDefault="00E21A49" w:rsidP="00E21A49">
      <w:pPr>
        <w:rPr>
          <w:rtl/>
          <w:lang w:val="es-MX"/>
        </w:rPr>
      </w:pPr>
      <w:r w:rsidRPr="00D05254">
        <w:rPr>
          <w:rFonts w:hint="cs"/>
          <w:rtl/>
          <w:lang w:val="es-MX"/>
        </w:rPr>
        <w:t xml:space="preserve">חגי ארליך, הגר סלמון, סטיבן קפלן, </w:t>
      </w:r>
      <w:r w:rsidRPr="00D05254">
        <w:rPr>
          <w:rFonts w:hint="cs"/>
          <w:i/>
          <w:iCs/>
          <w:rtl/>
          <w:lang w:val="es-MX"/>
        </w:rPr>
        <w:t xml:space="preserve">אתיופיה: נצרות, אסלאם יהדות. </w:t>
      </w:r>
      <w:r w:rsidRPr="00D05254">
        <w:rPr>
          <w:rFonts w:hint="cs"/>
          <w:rtl/>
          <w:lang w:val="es-MX"/>
        </w:rPr>
        <w:t>האוניברסיטה הפתוחה: תל אביב, 2003, 19-138</w:t>
      </w:r>
    </w:p>
    <w:p w:rsidR="008F287C" w:rsidRPr="00D05254" w:rsidRDefault="008F287C" w:rsidP="00B021E1">
      <w:pPr>
        <w:rPr>
          <w:rtl/>
          <w:lang w:val="es-MX"/>
        </w:rPr>
      </w:pPr>
    </w:p>
    <w:p w:rsidR="008F287C" w:rsidRPr="007616D3" w:rsidRDefault="008F287C" w:rsidP="00B021E1">
      <w:pPr>
        <w:rPr>
          <w:b/>
          <w:bCs/>
          <w:rtl/>
          <w:lang w:val="es-MX"/>
        </w:rPr>
      </w:pPr>
      <w:r w:rsidRPr="007616D3">
        <w:rPr>
          <w:rFonts w:hint="cs"/>
          <w:b/>
          <w:bCs/>
          <w:rtl/>
          <w:lang w:val="es-MX"/>
        </w:rPr>
        <w:t>3 אסלאם באתיופיה</w:t>
      </w:r>
    </w:p>
    <w:p w:rsidR="00E21A49" w:rsidRPr="00D05254" w:rsidRDefault="00E21A49" w:rsidP="00E21A49">
      <w:pPr>
        <w:rPr>
          <w:rtl/>
          <w:lang w:val="es-MX"/>
        </w:rPr>
      </w:pPr>
      <w:r w:rsidRPr="00D05254">
        <w:rPr>
          <w:rFonts w:hint="cs"/>
          <w:rtl/>
          <w:lang w:val="es-MX"/>
        </w:rPr>
        <w:t xml:space="preserve">חגי ארליך, הגר סלמון, סטיבן קפלן, </w:t>
      </w:r>
      <w:r w:rsidRPr="00D05254">
        <w:rPr>
          <w:rFonts w:hint="cs"/>
          <w:i/>
          <w:iCs/>
          <w:rtl/>
          <w:lang w:val="es-MX"/>
        </w:rPr>
        <w:t xml:space="preserve">אתיופיה: נצרות, אסלאם יהדות. </w:t>
      </w:r>
      <w:r w:rsidRPr="00D05254">
        <w:rPr>
          <w:rFonts w:hint="cs"/>
          <w:rtl/>
          <w:lang w:val="es-MX"/>
        </w:rPr>
        <w:t>האוניברסיטה הפתוחה: תל אביב, 2003, 139-262.</w:t>
      </w:r>
    </w:p>
    <w:p w:rsidR="008F287C" w:rsidRPr="00D05254" w:rsidRDefault="008F287C" w:rsidP="00B021E1">
      <w:pPr>
        <w:rPr>
          <w:rtl/>
          <w:lang w:val="es-MX"/>
        </w:rPr>
      </w:pPr>
    </w:p>
    <w:p w:rsidR="008F287C" w:rsidRPr="007616D3" w:rsidRDefault="008F287C" w:rsidP="00B021E1">
      <w:pPr>
        <w:rPr>
          <w:b/>
          <w:bCs/>
          <w:rtl/>
          <w:lang w:val="es-MX"/>
        </w:rPr>
      </w:pPr>
      <w:r w:rsidRPr="007616D3">
        <w:rPr>
          <w:rFonts w:hint="cs"/>
          <w:b/>
          <w:bCs/>
          <w:rtl/>
          <w:lang w:val="es-MX"/>
        </w:rPr>
        <w:t>4 יהדות באתיופיה</w:t>
      </w:r>
    </w:p>
    <w:p w:rsidR="00E21A49" w:rsidRPr="00D05254" w:rsidRDefault="00E21A49" w:rsidP="00E21A49">
      <w:pPr>
        <w:rPr>
          <w:rtl/>
          <w:lang w:val="es-MX"/>
        </w:rPr>
      </w:pPr>
      <w:r w:rsidRPr="00D05254">
        <w:rPr>
          <w:rFonts w:hint="cs"/>
          <w:rtl/>
          <w:lang w:val="es-MX"/>
        </w:rPr>
        <w:t xml:space="preserve">חגי ארליך, הגר סלמון, סטיבן קפלן, </w:t>
      </w:r>
      <w:r w:rsidRPr="00D05254">
        <w:rPr>
          <w:rFonts w:hint="cs"/>
          <w:i/>
          <w:iCs/>
          <w:rtl/>
          <w:lang w:val="es-MX"/>
        </w:rPr>
        <w:t xml:space="preserve">אתיופיה: נצרות, אסלאם יהדות. </w:t>
      </w:r>
      <w:r w:rsidRPr="00D05254">
        <w:rPr>
          <w:rFonts w:hint="cs"/>
          <w:rtl/>
          <w:lang w:val="es-MX"/>
        </w:rPr>
        <w:t>האוניברסיטה הפתוחה: תל אביב, 2003, 263-356.</w:t>
      </w:r>
    </w:p>
    <w:p w:rsidR="00B021E1" w:rsidRPr="00D05254" w:rsidRDefault="00B021E1" w:rsidP="00B021E1"/>
    <w:p w:rsidR="00B021E1" w:rsidRPr="007616D3" w:rsidRDefault="008F287C" w:rsidP="00B021E1">
      <w:pPr>
        <w:rPr>
          <w:b/>
          <w:bCs/>
          <w:rtl/>
        </w:rPr>
      </w:pPr>
      <w:r w:rsidRPr="007616D3">
        <w:rPr>
          <w:rFonts w:hint="cs"/>
          <w:b/>
          <w:bCs/>
          <w:rtl/>
        </w:rPr>
        <w:t>מקורות</w:t>
      </w:r>
    </w:p>
    <w:p w:rsidR="00B021E1" w:rsidRPr="007616D3" w:rsidRDefault="005A288F" w:rsidP="00B021E1">
      <w:pPr>
        <w:rPr>
          <w:b/>
          <w:bCs/>
        </w:rPr>
      </w:pPr>
      <w:r w:rsidRPr="007616D3">
        <w:rPr>
          <w:rFonts w:hint="cs"/>
          <w:b/>
          <w:bCs/>
          <w:rtl/>
          <w:lang w:val="es-MX"/>
        </w:rPr>
        <w:t>5</w:t>
      </w:r>
      <w:r w:rsidR="00B021E1" w:rsidRPr="007616D3">
        <w:rPr>
          <w:rFonts w:hint="cs"/>
          <w:b/>
          <w:bCs/>
          <w:rtl/>
          <w:lang w:val="es-MX"/>
        </w:rPr>
        <w:t xml:space="preserve"> התנצרותה של אתיופיה ותשעת הקדושים</w:t>
      </w:r>
    </w:p>
    <w:p w:rsidR="00B021E1" w:rsidRPr="007616D3" w:rsidRDefault="00B021E1" w:rsidP="00B021E1">
      <w:pPr>
        <w:rPr>
          <w:b/>
          <w:bCs/>
        </w:rPr>
      </w:pPr>
    </w:p>
    <w:p w:rsidR="00B021E1" w:rsidRPr="00D05254" w:rsidRDefault="00B021E1" w:rsidP="008F287C">
      <w:pPr>
        <w:bidi w:val="0"/>
      </w:pPr>
      <w:r w:rsidRPr="00D05254">
        <w:t xml:space="preserve">E.A. Wallis Budge, </w:t>
      </w:r>
      <w:proofErr w:type="gramStart"/>
      <w:r w:rsidRPr="00D05254">
        <w:rPr>
          <w:i/>
          <w:iCs/>
        </w:rPr>
        <w:t>The</w:t>
      </w:r>
      <w:proofErr w:type="gramEnd"/>
      <w:r w:rsidRPr="00D05254">
        <w:rPr>
          <w:i/>
          <w:iCs/>
        </w:rPr>
        <w:t xml:space="preserve"> Book of the Saints of the Ethiopian Church,</w:t>
      </w:r>
      <w:r w:rsidR="008F287C" w:rsidRPr="00D05254">
        <w:t xml:space="preserve"> </w:t>
      </w:r>
      <w:r w:rsidRPr="00D05254">
        <w:t>Hildesheim – New York. Pp. 116-118, 155, 875-877, 1009-1010.</w:t>
      </w:r>
    </w:p>
    <w:p w:rsidR="00B021E1" w:rsidRPr="00D05254" w:rsidRDefault="00B021E1" w:rsidP="00B021E1"/>
    <w:p w:rsidR="00B021E1" w:rsidRPr="00D05254" w:rsidRDefault="00B021E1" w:rsidP="008F287C">
      <w:pPr>
        <w:bidi w:val="0"/>
      </w:pPr>
      <w:r w:rsidRPr="00D05254">
        <w:t xml:space="preserve">Stuart Munro-Hay, Saintly Shadows, Alessandro </w:t>
      </w:r>
      <w:proofErr w:type="spellStart"/>
      <w:r w:rsidRPr="00D05254">
        <w:t>Bausi</w:t>
      </w:r>
      <w:proofErr w:type="spellEnd"/>
      <w:r w:rsidRPr="00D05254">
        <w:t xml:space="preserve"> (ed.) </w:t>
      </w:r>
      <w:proofErr w:type="gramStart"/>
      <w:r w:rsidRPr="00D05254">
        <w:rPr>
          <w:i/>
          <w:iCs/>
        </w:rPr>
        <w:t>The</w:t>
      </w:r>
      <w:proofErr w:type="gramEnd"/>
      <w:r w:rsidRPr="00D05254">
        <w:rPr>
          <w:i/>
          <w:iCs/>
        </w:rPr>
        <w:t xml:space="preserve"> Worlds of Eastern Christianity. 300-</w:t>
      </w:r>
      <w:r w:rsidRPr="00D05254">
        <w:t xml:space="preserve">1500, vol. 4, Variorum – </w:t>
      </w:r>
      <w:proofErr w:type="spellStart"/>
      <w:r w:rsidRPr="00D05254">
        <w:t>Ashgate</w:t>
      </w:r>
      <w:proofErr w:type="spellEnd"/>
      <w:r w:rsidRPr="00D05254">
        <w:t>, pp. 221-252.</w:t>
      </w:r>
    </w:p>
    <w:p w:rsidR="00B021E1" w:rsidRPr="00D05254" w:rsidRDefault="00B021E1" w:rsidP="00B021E1">
      <w:pPr>
        <w:rPr>
          <w:rtl/>
          <w:lang w:val="es-MX"/>
        </w:rPr>
      </w:pPr>
    </w:p>
    <w:p w:rsidR="00B021E1" w:rsidRPr="00D05254" w:rsidRDefault="00B021E1" w:rsidP="00B021E1">
      <w:pPr>
        <w:rPr>
          <w:rtl/>
          <w:lang w:val="es-MX"/>
        </w:rPr>
      </w:pPr>
    </w:p>
    <w:p w:rsidR="00B021E1" w:rsidRPr="007616D3" w:rsidRDefault="005A288F" w:rsidP="00E21A49">
      <w:pPr>
        <w:rPr>
          <w:b/>
          <w:bCs/>
          <w:rtl/>
          <w:lang w:val="es-MX"/>
        </w:rPr>
      </w:pPr>
      <w:r w:rsidRPr="007616D3">
        <w:rPr>
          <w:rFonts w:hint="cs"/>
          <w:b/>
          <w:bCs/>
          <w:rtl/>
          <w:lang w:val="es-MX"/>
        </w:rPr>
        <w:t>6</w:t>
      </w:r>
      <w:r w:rsidR="00B021E1" w:rsidRPr="007616D3">
        <w:rPr>
          <w:rFonts w:hint="cs"/>
          <w:b/>
          <w:bCs/>
          <w:rtl/>
          <w:lang w:val="es-MX"/>
        </w:rPr>
        <w:t xml:space="preserve"> שושלת שלמה המוקדמת.</w:t>
      </w:r>
    </w:p>
    <w:p w:rsidR="00B021E1" w:rsidRPr="007616D3" w:rsidRDefault="00B021E1" w:rsidP="00B021E1">
      <w:pPr>
        <w:rPr>
          <w:b/>
          <w:bCs/>
          <w:rtl/>
          <w:lang w:val="es-MX"/>
        </w:rPr>
      </w:pPr>
      <w:r w:rsidRPr="007616D3">
        <w:rPr>
          <w:rFonts w:hint="cs"/>
          <w:b/>
          <w:bCs/>
          <w:rtl/>
          <w:lang w:val="es-MX"/>
        </w:rPr>
        <w:t xml:space="preserve">התנצרות והתנגדות    </w:t>
      </w:r>
    </w:p>
    <w:p w:rsidR="00B021E1" w:rsidRPr="00D05254" w:rsidRDefault="00B021E1" w:rsidP="00B021E1">
      <w:pPr>
        <w:rPr>
          <w:rtl/>
          <w:lang w:val="es-MX"/>
        </w:rPr>
      </w:pPr>
    </w:p>
    <w:p w:rsidR="00B021E1" w:rsidRPr="00D05254" w:rsidRDefault="00B021E1" w:rsidP="00B021E1">
      <w:pPr>
        <w:rPr>
          <w:rtl/>
        </w:rPr>
      </w:pPr>
      <w:proofErr w:type="spellStart"/>
      <w:r w:rsidRPr="00D05254">
        <w:t>Taddesse</w:t>
      </w:r>
      <w:proofErr w:type="spellEnd"/>
      <w:r w:rsidRPr="00D05254">
        <w:t xml:space="preserve"> </w:t>
      </w:r>
      <w:proofErr w:type="spellStart"/>
      <w:r w:rsidRPr="00D05254">
        <w:t>Tamrat</w:t>
      </w:r>
      <w:proofErr w:type="spellEnd"/>
      <w:r w:rsidRPr="00D05254">
        <w:t>, “A Short Note on the Traditions of Pagan Resistance to the Ethiopian Church (14</w:t>
      </w:r>
      <w:r w:rsidRPr="00D05254">
        <w:rPr>
          <w:vertAlign w:val="superscript"/>
        </w:rPr>
        <w:t>th</w:t>
      </w:r>
      <w:r w:rsidRPr="00D05254">
        <w:t xml:space="preserve"> and 15</w:t>
      </w:r>
      <w:r w:rsidRPr="00D05254">
        <w:rPr>
          <w:vertAlign w:val="superscript"/>
        </w:rPr>
        <w:t>th</w:t>
      </w:r>
      <w:r w:rsidRPr="00D05254">
        <w:t xml:space="preserve"> Centuries)”, </w:t>
      </w:r>
      <w:r w:rsidRPr="00D05254">
        <w:rPr>
          <w:i/>
          <w:iCs/>
        </w:rPr>
        <w:t xml:space="preserve">Journal of Ethiopian Studies, </w:t>
      </w:r>
      <w:r w:rsidRPr="00D05254">
        <w:t>10, 1 (1972), pp. 137-149.</w:t>
      </w:r>
    </w:p>
    <w:p w:rsidR="00B021E1" w:rsidRPr="00D05254" w:rsidRDefault="00B021E1" w:rsidP="00B021E1">
      <w:pPr>
        <w:rPr>
          <w:rtl/>
        </w:rPr>
      </w:pPr>
    </w:p>
    <w:p w:rsidR="00B021E1" w:rsidRPr="007616D3" w:rsidRDefault="005A288F" w:rsidP="00B021E1">
      <w:pPr>
        <w:rPr>
          <w:b/>
          <w:bCs/>
          <w:rtl/>
          <w:lang w:val="es-MX"/>
        </w:rPr>
      </w:pPr>
      <w:r w:rsidRPr="007616D3">
        <w:rPr>
          <w:rFonts w:hint="cs"/>
          <w:b/>
          <w:bCs/>
          <w:rtl/>
          <w:lang w:val="es-MX"/>
        </w:rPr>
        <w:t xml:space="preserve">7 </w:t>
      </w:r>
      <w:r w:rsidR="00B021E1" w:rsidRPr="007616D3">
        <w:rPr>
          <w:rFonts w:hint="cs"/>
          <w:b/>
          <w:bCs/>
          <w:rtl/>
          <w:lang w:val="es-MX"/>
        </w:rPr>
        <w:t>נזירות וקיסרות</w:t>
      </w:r>
    </w:p>
    <w:p w:rsidR="00B021E1" w:rsidRPr="00D05254" w:rsidRDefault="00B021E1" w:rsidP="00B021E1">
      <w:pPr>
        <w:rPr>
          <w:lang w:val="es-MX"/>
        </w:rPr>
      </w:pPr>
    </w:p>
    <w:p w:rsidR="00B021E1" w:rsidRPr="00D05254" w:rsidRDefault="00B021E1" w:rsidP="00B021E1">
      <w:pPr>
        <w:rPr>
          <w:rtl/>
        </w:rPr>
      </w:pPr>
      <w:proofErr w:type="spellStart"/>
      <w:r w:rsidRPr="00D05254">
        <w:t>Getatchew</w:t>
      </w:r>
      <w:proofErr w:type="spellEnd"/>
      <w:r w:rsidRPr="00D05254">
        <w:t xml:space="preserve"> Haile, “From Strict Observance to Royal Endowment: the Case of the Monastery of </w:t>
      </w:r>
      <w:proofErr w:type="spellStart"/>
      <w:r w:rsidRPr="00D05254">
        <w:t>Dabra</w:t>
      </w:r>
      <w:proofErr w:type="spellEnd"/>
      <w:r w:rsidRPr="00D05254">
        <w:t xml:space="preserve"> </w:t>
      </w:r>
      <w:proofErr w:type="spellStart"/>
      <w:r w:rsidRPr="00D05254">
        <w:t>Hallleluya</w:t>
      </w:r>
      <w:proofErr w:type="spellEnd"/>
      <w:r w:rsidRPr="00D05254">
        <w:t xml:space="preserve">”, </w:t>
      </w:r>
      <w:r w:rsidRPr="00D05254">
        <w:rPr>
          <w:i/>
          <w:iCs/>
        </w:rPr>
        <w:t xml:space="preserve">Le </w:t>
      </w:r>
      <w:proofErr w:type="spellStart"/>
      <w:r w:rsidRPr="00D05254">
        <w:rPr>
          <w:i/>
          <w:iCs/>
        </w:rPr>
        <w:t>Museon</w:t>
      </w:r>
      <w:proofErr w:type="spellEnd"/>
      <w:r w:rsidRPr="00D05254">
        <w:rPr>
          <w:i/>
          <w:iCs/>
        </w:rPr>
        <w:t xml:space="preserve">, </w:t>
      </w:r>
      <w:r w:rsidRPr="00D05254">
        <w:t>93, pp. 163-172</w:t>
      </w:r>
    </w:p>
    <w:p w:rsidR="00B021E1" w:rsidRPr="00D05254" w:rsidRDefault="00B021E1" w:rsidP="00B021E1">
      <w:pPr>
        <w:rPr>
          <w:rtl/>
        </w:rPr>
      </w:pPr>
    </w:p>
    <w:p w:rsidR="00927C01" w:rsidRPr="00D05254" w:rsidRDefault="005A288F" w:rsidP="00927C01">
      <w:pPr>
        <w:rPr>
          <w:rtl/>
        </w:rPr>
      </w:pPr>
      <w:r w:rsidRPr="00D05254">
        <w:rPr>
          <w:rFonts w:hint="cs"/>
          <w:rtl/>
        </w:rPr>
        <w:t xml:space="preserve">8 </w:t>
      </w:r>
      <w:r w:rsidR="00927C01" w:rsidRPr="00D05254">
        <w:rPr>
          <w:rFonts w:hint="cs"/>
          <w:rtl/>
        </w:rPr>
        <w:t>הגיוגרפיה והיסטוריה א</w:t>
      </w:r>
    </w:p>
    <w:p w:rsidR="00927C01" w:rsidRPr="00D05254" w:rsidRDefault="00927C01" w:rsidP="00927C01">
      <w:pPr>
        <w:bidi w:val="0"/>
      </w:pPr>
      <w:r w:rsidRPr="00D05254">
        <w:t xml:space="preserve">Steven Kaplan, </w:t>
      </w:r>
      <w:proofErr w:type="gramStart"/>
      <w:r w:rsidRPr="00E807D5">
        <w:rPr>
          <w:i/>
          <w:iCs/>
        </w:rPr>
        <w:t>The</w:t>
      </w:r>
      <w:proofErr w:type="gramEnd"/>
      <w:r w:rsidRPr="00E807D5">
        <w:rPr>
          <w:i/>
          <w:iCs/>
        </w:rPr>
        <w:t xml:space="preserve"> Monastic Holy Man and the Christianization o</w:t>
      </w:r>
      <w:r w:rsidR="00E807D5">
        <w:rPr>
          <w:i/>
          <w:iCs/>
        </w:rPr>
        <w:t xml:space="preserve">f Early </w:t>
      </w:r>
      <w:proofErr w:type="spellStart"/>
      <w:r w:rsidR="00E807D5">
        <w:rPr>
          <w:i/>
          <w:iCs/>
        </w:rPr>
        <w:t>So</w:t>
      </w:r>
      <w:r w:rsidRPr="00E807D5">
        <w:rPr>
          <w:i/>
          <w:iCs/>
        </w:rPr>
        <w:t>lomonic</w:t>
      </w:r>
      <w:proofErr w:type="spellEnd"/>
      <w:r w:rsidRPr="00D05254">
        <w:t xml:space="preserve"> </w:t>
      </w:r>
      <w:r w:rsidRPr="00E807D5">
        <w:rPr>
          <w:i/>
          <w:iCs/>
        </w:rPr>
        <w:t>Ethiopia</w:t>
      </w:r>
      <w:r w:rsidRPr="00D05254">
        <w:t>,</w:t>
      </w:r>
      <w:r w:rsidR="00E807D5">
        <w:t xml:space="preserve"> Wiesbaden: Franz Steiner, 1984</w:t>
      </w:r>
      <w:r w:rsidRPr="00D05254">
        <w:t xml:space="preserve"> pp.  </w:t>
      </w:r>
      <w:proofErr w:type="gramStart"/>
      <w:r w:rsidR="00D05254" w:rsidRPr="00D05254">
        <w:t>1-14.</w:t>
      </w:r>
      <w:proofErr w:type="gramEnd"/>
    </w:p>
    <w:p w:rsidR="00B021E1" w:rsidRPr="00D05254" w:rsidRDefault="00B021E1" w:rsidP="00B021E1">
      <w:pPr>
        <w:rPr>
          <w:rtl/>
        </w:rPr>
      </w:pPr>
    </w:p>
    <w:p w:rsidR="00B021E1" w:rsidRPr="00D05254" w:rsidRDefault="005A288F" w:rsidP="00B021E1">
      <w:pPr>
        <w:rPr>
          <w:rtl/>
        </w:rPr>
      </w:pPr>
      <w:r w:rsidRPr="00D05254">
        <w:rPr>
          <w:rFonts w:hint="cs"/>
          <w:rtl/>
        </w:rPr>
        <w:t>9</w:t>
      </w:r>
      <w:r w:rsidR="00B021E1" w:rsidRPr="00D05254">
        <w:rPr>
          <w:rFonts w:hint="cs"/>
          <w:rtl/>
        </w:rPr>
        <w:t xml:space="preserve"> הגיוגרפיה והיסטוריה</w:t>
      </w:r>
      <w:r w:rsidR="00927C01" w:rsidRPr="00D05254">
        <w:rPr>
          <w:rFonts w:hint="cs"/>
          <w:rtl/>
        </w:rPr>
        <w:t xml:space="preserve"> ב</w:t>
      </w:r>
    </w:p>
    <w:p w:rsidR="00B021E1" w:rsidRPr="00D05254" w:rsidRDefault="00B021E1" w:rsidP="00B021E1">
      <w:pPr>
        <w:rPr>
          <w:rtl/>
        </w:rPr>
      </w:pPr>
    </w:p>
    <w:p w:rsidR="00CA6A30" w:rsidRPr="00D05254" w:rsidRDefault="00B021E1" w:rsidP="00D05254">
      <w:pPr>
        <w:bidi w:val="0"/>
        <w:rPr>
          <w:rtl/>
        </w:rPr>
      </w:pPr>
      <w:proofErr w:type="spellStart"/>
      <w:r w:rsidRPr="00D05254">
        <w:t>Getatchew</w:t>
      </w:r>
      <w:proofErr w:type="spellEnd"/>
      <w:r w:rsidRPr="00D05254">
        <w:t xml:space="preserve"> Haile, “The Life of </w:t>
      </w:r>
      <w:proofErr w:type="spellStart"/>
      <w:r w:rsidRPr="00D05254">
        <w:t>Abunä</w:t>
      </w:r>
      <w:proofErr w:type="spellEnd"/>
      <w:r w:rsidRPr="00D05254">
        <w:t xml:space="preserve"> </w:t>
      </w:r>
      <w:proofErr w:type="spellStart"/>
      <w:r w:rsidRPr="00D05254">
        <w:t>Yostinos</w:t>
      </w:r>
      <w:proofErr w:type="spellEnd"/>
      <w:r w:rsidRPr="00D05254">
        <w:t xml:space="preserve">”, </w:t>
      </w:r>
      <w:proofErr w:type="spellStart"/>
      <w:r w:rsidRPr="00D05254">
        <w:rPr>
          <w:i/>
          <w:iCs/>
        </w:rPr>
        <w:t>Analecta</w:t>
      </w:r>
      <w:proofErr w:type="spellEnd"/>
      <w:r w:rsidRPr="00D05254">
        <w:rPr>
          <w:i/>
          <w:iCs/>
        </w:rPr>
        <w:t xml:space="preserve"> </w:t>
      </w:r>
      <w:proofErr w:type="spellStart"/>
      <w:r w:rsidRPr="00D05254">
        <w:rPr>
          <w:i/>
          <w:iCs/>
        </w:rPr>
        <w:t>Bollandiana</w:t>
      </w:r>
      <w:proofErr w:type="spellEnd"/>
      <w:r w:rsidRPr="00D05254">
        <w:rPr>
          <w:i/>
          <w:iCs/>
        </w:rPr>
        <w:t xml:space="preserve"> </w:t>
      </w:r>
      <w:r w:rsidRPr="00D05254">
        <w:t>101 (1983), pp. 311-325.</w:t>
      </w:r>
    </w:p>
    <w:p w:rsidR="00B021E1" w:rsidRPr="00D05254" w:rsidRDefault="00B021E1" w:rsidP="00D05254">
      <w:pPr>
        <w:bidi w:val="0"/>
      </w:pPr>
      <w:r w:rsidRPr="00D05254">
        <w:t xml:space="preserve">E.A. Wallis Budge, </w:t>
      </w:r>
      <w:r w:rsidRPr="00D05254">
        <w:rPr>
          <w:i/>
          <w:iCs/>
        </w:rPr>
        <w:t xml:space="preserve">The Book of the Saints of the Ethiopian Church, </w:t>
      </w:r>
      <w:r w:rsidRPr="00D05254">
        <w:t>3/</w:t>
      </w:r>
      <w:proofErr w:type="gramStart"/>
      <w:r w:rsidRPr="00D05254">
        <w:t>4  Hildesheim</w:t>
      </w:r>
      <w:proofErr w:type="gramEnd"/>
      <w:r w:rsidRPr="00D05254">
        <w:t xml:space="preserve"> – New York, pp. 755-772; 1241-1246.</w:t>
      </w:r>
    </w:p>
    <w:p w:rsidR="00B021E1" w:rsidRPr="00D05254" w:rsidRDefault="00B021E1" w:rsidP="00B021E1">
      <w:pPr>
        <w:rPr>
          <w:rtl/>
        </w:rPr>
      </w:pPr>
    </w:p>
    <w:p w:rsidR="00CA6A30" w:rsidRPr="00D05254" w:rsidRDefault="005A288F" w:rsidP="00B021E1">
      <w:pPr>
        <w:rPr>
          <w:rtl/>
        </w:rPr>
      </w:pPr>
      <w:r w:rsidRPr="00D05254">
        <w:rPr>
          <w:rFonts w:hint="cs"/>
          <w:rtl/>
        </w:rPr>
        <w:t xml:space="preserve">10 </w:t>
      </w:r>
      <w:r w:rsidR="00CA6A30" w:rsidRPr="00D05254">
        <w:rPr>
          <w:rFonts w:hint="cs"/>
          <w:rtl/>
        </w:rPr>
        <w:t xml:space="preserve">תנועות נוצריות פונדמנטליסטיות בימי הביניים: </w:t>
      </w:r>
      <w:proofErr w:type="spellStart"/>
      <w:r w:rsidR="00CA6A30" w:rsidRPr="00D05254">
        <w:rPr>
          <w:rFonts w:hint="cs"/>
          <w:rtl/>
        </w:rPr>
        <w:t>הסטפניטים</w:t>
      </w:r>
      <w:proofErr w:type="spellEnd"/>
      <w:r w:rsidR="00CA6A30" w:rsidRPr="00D05254">
        <w:rPr>
          <w:rFonts w:hint="cs"/>
          <w:rtl/>
        </w:rPr>
        <w:t>.</w:t>
      </w:r>
    </w:p>
    <w:p w:rsidR="00B43628" w:rsidRPr="00D05254" w:rsidRDefault="00B43628" w:rsidP="00B43628">
      <w:pPr>
        <w:pStyle w:val="NormalWeb"/>
        <w:shd w:val="clear" w:color="auto" w:fill="FFFFFF"/>
        <w:spacing w:before="0" w:beforeAutospacing="0" w:after="0" w:afterAutospacing="0"/>
        <w:rPr>
          <w:rFonts w:ascii="Arial" w:hAnsi="Arial" w:cs="Arial"/>
          <w:color w:val="423736"/>
          <w:sz w:val="19"/>
          <w:szCs w:val="19"/>
        </w:rPr>
      </w:pPr>
      <w:r w:rsidRPr="00D05254">
        <w:rPr>
          <w:rFonts w:ascii="Arial" w:hAnsi="Arial" w:cs="Arial"/>
          <w:color w:val="423736"/>
          <w:sz w:val="19"/>
          <w:szCs w:val="19"/>
        </w:rPr>
        <w:t xml:space="preserve">The </w:t>
      </w:r>
      <w:proofErr w:type="spellStart"/>
      <w:r w:rsidRPr="00D05254">
        <w:rPr>
          <w:rFonts w:ascii="Arial" w:hAnsi="Arial" w:cs="Arial"/>
          <w:color w:val="423736"/>
          <w:sz w:val="19"/>
          <w:szCs w:val="19"/>
        </w:rPr>
        <w:t>Geʻez</w:t>
      </w:r>
      <w:proofErr w:type="spellEnd"/>
      <w:r w:rsidRPr="00D05254">
        <w:rPr>
          <w:rFonts w:ascii="Arial" w:hAnsi="Arial" w:cs="Arial"/>
          <w:color w:val="423736"/>
          <w:sz w:val="19"/>
          <w:szCs w:val="19"/>
        </w:rPr>
        <w:t xml:space="preserve"> Acts of Abba </w:t>
      </w:r>
      <w:proofErr w:type="spellStart"/>
      <w:r w:rsidRPr="00D05254">
        <w:rPr>
          <w:rFonts w:ascii="Arial" w:hAnsi="Arial" w:cs="Arial"/>
          <w:color w:val="423736"/>
          <w:sz w:val="19"/>
          <w:szCs w:val="19"/>
        </w:rPr>
        <w:t>Estifanos</w:t>
      </w:r>
      <w:proofErr w:type="spellEnd"/>
      <w:r w:rsidRPr="00D05254">
        <w:rPr>
          <w:rFonts w:ascii="Arial" w:hAnsi="Arial" w:cs="Arial"/>
          <w:color w:val="423736"/>
          <w:sz w:val="19"/>
          <w:szCs w:val="19"/>
        </w:rPr>
        <w:t xml:space="preserve"> of </w:t>
      </w:r>
      <w:proofErr w:type="spellStart"/>
      <w:r w:rsidRPr="00D05254">
        <w:rPr>
          <w:rFonts w:ascii="Arial" w:hAnsi="Arial" w:cs="Arial"/>
          <w:color w:val="423736"/>
          <w:sz w:val="19"/>
          <w:szCs w:val="19"/>
        </w:rPr>
        <w:t>Gwendagwende</w:t>
      </w:r>
      <w:proofErr w:type="spellEnd"/>
      <w:r w:rsidRPr="00D05254">
        <w:rPr>
          <w:rFonts w:ascii="Arial" w:hAnsi="Arial" w:cs="Arial"/>
          <w:color w:val="423736"/>
          <w:sz w:val="19"/>
          <w:szCs w:val="19"/>
        </w:rPr>
        <w:t xml:space="preserve"> / edited [and translated] by </w:t>
      </w:r>
      <w:proofErr w:type="spellStart"/>
      <w:r w:rsidRPr="00D05254">
        <w:rPr>
          <w:rFonts w:ascii="Arial" w:hAnsi="Arial" w:cs="Arial"/>
          <w:color w:val="423736"/>
          <w:sz w:val="19"/>
          <w:szCs w:val="19"/>
        </w:rPr>
        <w:t>Getatchew</w:t>
      </w:r>
      <w:proofErr w:type="spellEnd"/>
      <w:r w:rsidRPr="00D05254">
        <w:rPr>
          <w:rFonts w:ascii="Arial" w:hAnsi="Arial" w:cs="Arial"/>
          <w:color w:val="423736"/>
          <w:sz w:val="19"/>
          <w:szCs w:val="19"/>
        </w:rPr>
        <w:t xml:space="preserve"> Haile.</w:t>
      </w:r>
    </w:p>
    <w:p w:rsidR="00B43628" w:rsidRPr="00D05254" w:rsidRDefault="00B43628" w:rsidP="00B43628">
      <w:pPr>
        <w:pStyle w:val="NormalWeb"/>
        <w:shd w:val="clear" w:color="auto" w:fill="FFFFFF"/>
        <w:spacing w:before="0" w:beforeAutospacing="0" w:after="0" w:afterAutospacing="0"/>
        <w:rPr>
          <w:rFonts w:ascii="Arial" w:hAnsi="Arial" w:cs="Arial"/>
          <w:color w:val="423736"/>
          <w:sz w:val="19"/>
          <w:szCs w:val="19"/>
        </w:rPr>
      </w:pPr>
      <w:r w:rsidRPr="00D05254">
        <w:rPr>
          <w:rFonts w:ascii="Arial" w:hAnsi="Arial" w:cs="Arial"/>
          <w:color w:val="423736"/>
          <w:sz w:val="19"/>
          <w:szCs w:val="19"/>
        </w:rPr>
        <w:t>   </w:t>
      </w:r>
      <w:proofErr w:type="spellStart"/>
      <w:r w:rsidRPr="00D05254">
        <w:rPr>
          <w:rFonts w:ascii="Arial" w:hAnsi="Arial" w:cs="Arial"/>
          <w:color w:val="423736"/>
          <w:sz w:val="19"/>
          <w:szCs w:val="19"/>
        </w:rPr>
        <w:t>Lovanii</w:t>
      </w:r>
      <w:proofErr w:type="spellEnd"/>
      <w:r w:rsidRPr="00D05254">
        <w:rPr>
          <w:rFonts w:ascii="Arial" w:hAnsi="Arial" w:cs="Arial"/>
          <w:color w:val="423736"/>
          <w:sz w:val="19"/>
          <w:szCs w:val="19"/>
        </w:rPr>
        <w:t xml:space="preserve"> [Louvain, Belgium</w:t>
      </w:r>
      <w:proofErr w:type="gramStart"/>
      <w:r w:rsidRPr="00D05254">
        <w:rPr>
          <w:rFonts w:ascii="Arial" w:hAnsi="Arial" w:cs="Arial"/>
          <w:color w:val="423736"/>
          <w:sz w:val="19"/>
          <w:szCs w:val="19"/>
        </w:rPr>
        <w:t>] :</w:t>
      </w:r>
      <w:proofErr w:type="gramEnd"/>
      <w:r w:rsidRPr="00D05254">
        <w:rPr>
          <w:rFonts w:ascii="Arial" w:hAnsi="Arial" w:cs="Arial"/>
          <w:color w:val="423736"/>
          <w:sz w:val="19"/>
          <w:szCs w:val="19"/>
        </w:rPr>
        <w:t xml:space="preserve"> </w:t>
      </w:r>
      <w:proofErr w:type="spellStart"/>
      <w:r w:rsidRPr="00D05254">
        <w:rPr>
          <w:rFonts w:ascii="Arial" w:hAnsi="Arial" w:cs="Arial"/>
          <w:color w:val="423736"/>
          <w:sz w:val="19"/>
          <w:szCs w:val="19"/>
        </w:rPr>
        <w:t>Peeters</w:t>
      </w:r>
      <w:proofErr w:type="spellEnd"/>
      <w:r w:rsidRPr="00D05254">
        <w:rPr>
          <w:rFonts w:ascii="Arial" w:hAnsi="Arial" w:cs="Arial"/>
          <w:color w:val="423736"/>
          <w:sz w:val="19"/>
          <w:szCs w:val="19"/>
        </w:rPr>
        <w:t>, 2006.</w:t>
      </w:r>
    </w:p>
    <w:p w:rsidR="00D05254" w:rsidRPr="00D05254" w:rsidRDefault="00D05254" w:rsidP="00B43628">
      <w:pPr>
        <w:pStyle w:val="NormalWeb"/>
        <w:shd w:val="clear" w:color="auto" w:fill="FFFFFF"/>
        <w:spacing w:before="0" w:beforeAutospacing="0" w:after="0" w:afterAutospacing="0"/>
        <w:rPr>
          <w:rFonts w:ascii="Arial" w:hAnsi="Arial" w:cs="Arial"/>
          <w:color w:val="423736"/>
          <w:sz w:val="19"/>
          <w:szCs w:val="19"/>
        </w:rPr>
      </w:pPr>
    </w:p>
    <w:p w:rsidR="00B021E1" w:rsidRPr="00D05254" w:rsidRDefault="005A288F" w:rsidP="005A288F">
      <w:pPr>
        <w:bidi w:val="0"/>
      </w:pPr>
      <w:proofErr w:type="spellStart"/>
      <w:r w:rsidRPr="00D05254">
        <w:t>Getatchew</w:t>
      </w:r>
      <w:proofErr w:type="spellEnd"/>
      <w:r w:rsidRPr="00D05254">
        <w:t xml:space="preserve"> Haile, The Cause of the </w:t>
      </w:r>
      <w:proofErr w:type="spellStart"/>
      <w:r w:rsidRPr="00D05254">
        <w:t>Estifanosites</w:t>
      </w:r>
      <w:proofErr w:type="spellEnd"/>
      <w:r w:rsidRPr="00D05254">
        <w:t xml:space="preserve">: A Fundamentalist Sect in the Church of Ethiopia", </w:t>
      </w:r>
      <w:proofErr w:type="spellStart"/>
      <w:r w:rsidRPr="00D05254">
        <w:rPr>
          <w:i/>
          <w:iCs/>
        </w:rPr>
        <w:t>Paideuma</w:t>
      </w:r>
      <w:proofErr w:type="spellEnd"/>
      <w:r w:rsidRPr="00D05254">
        <w:t xml:space="preserve"> 29, 1983, 93-119.</w:t>
      </w:r>
    </w:p>
    <w:p w:rsidR="00E21A49" w:rsidRPr="00D05254" w:rsidRDefault="00E21A49" w:rsidP="00E21A49">
      <w:pPr>
        <w:bidi w:val="0"/>
      </w:pPr>
    </w:p>
    <w:p w:rsidR="00B021E1" w:rsidRPr="00D05254" w:rsidRDefault="005A288F" w:rsidP="00B021E1">
      <w:pPr>
        <w:rPr>
          <w:rtl/>
        </w:rPr>
      </w:pPr>
      <w:r w:rsidRPr="00D05254">
        <w:rPr>
          <w:rFonts w:hint="cs"/>
          <w:rtl/>
        </w:rPr>
        <w:t>11</w:t>
      </w:r>
      <w:r w:rsidR="00B021E1" w:rsidRPr="00D05254">
        <w:rPr>
          <w:rFonts w:hint="cs"/>
          <w:rtl/>
        </w:rPr>
        <w:t xml:space="preserve"> כרוניק</w:t>
      </w:r>
      <w:r w:rsidR="00927C01" w:rsidRPr="00D05254">
        <w:rPr>
          <w:rFonts w:hint="cs"/>
          <w:rtl/>
        </w:rPr>
        <w:t>ו</w:t>
      </w:r>
      <w:r w:rsidR="00B021E1" w:rsidRPr="00D05254">
        <w:rPr>
          <w:rFonts w:hint="cs"/>
          <w:rtl/>
        </w:rPr>
        <w:t>ת קיסרים</w:t>
      </w:r>
      <w:r w:rsidR="00927C01" w:rsidRPr="00D05254">
        <w:rPr>
          <w:rFonts w:hint="cs"/>
          <w:rtl/>
        </w:rPr>
        <w:t xml:space="preserve"> א</w:t>
      </w:r>
    </w:p>
    <w:p w:rsidR="00B021E1" w:rsidRPr="00D05254" w:rsidRDefault="00B021E1" w:rsidP="00B021E1"/>
    <w:p w:rsidR="00B021E1" w:rsidRPr="00D05254" w:rsidRDefault="00B021E1" w:rsidP="00D05254">
      <w:pPr>
        <w:bidi w:val="0"/>
      </w:pPr>
      <w:r w:rsidRPr="00D05254">
        <w:lastRenderedPageBreak/>
        <w:t xml:space="preserve">G. W. B. </w:t>
      </w:r>
      <w:proofErr w:type="spellStart"/>
      <w:r w:rsidRPr="00D05254">
        <w:t>Huntingford</w:t>
      </w:r>
      <w:proofErr w:type="spellEnd"/>
      <w:r w:rsidRPr="00D05254">
        <w:t xml:space="preserve">, </w:t>
      </w:r>
      <w:proofErr w:type="gramStart"/>
      <w:r w:rsidRPr="00D05254">
        <w:rPr>
          <w:i/>
          <w:iCs/>
        </w:rPr>
        <w:t>The</w:t>
      </w:r>
      <w:proofErr w:type="gramEnd"/>
      <w:r w:rsidRPr="00D05254">
        <w:rPr>
          <w:i/>
          <w:iCs/>
        </w:rPr>
        <w:t xml:space="preserve"> Glorious Victories of </w:t>
      </w:r>
      <w:proofErr w:type="spellStart"/>
      <w:r w:rsidRPr="00D05254">
        <w:rPr>
          <w:i/>
          <w:iCs/>
        </w:rPr>
        <w:t>Amda</w:t>
      </w:r>
      <w:proofErr w:type="spellEnd"/>
      <w:r w:rsidRPr="00D05254">
        <w:rPr>
          <w:i/>
          <w:iCs/>
        </w:rPr>
        <w:t xml:space="preserve"> </w:t>
      </w:r>
      <w:proofErr w:type="spellStart"/>
      <w:r w:rsidRPr="00D05254">
        <w:rPr>
          <w:i/>
          <w:iCs/>
        </w:rPr>
        <w:t>Seyon</w:t>
      </w:r>
      <w:proofErr w:type="spellEnd"/>
      <w:r w:rsidRPr="00D05254">
        <w:rPr>
          <w:i/>
          <w:iCs/>
        </w:rPr>
        <w:t xml:space="preserve">, </w:t>
      </w:r>
      <w:r w:rsidRPr="00D05254">
        <w:t>Oxford, 1965.</w:t>
      </w:r>
    </w:p>
    <w:p w:rsidR="00B021E1" w:rsidRPr="00D05254" w:rsidRDefault="00B021E1" w:rsidP="00B021E1">
      <w:pPr>
        <w:rPr>
          <w:rtl/>
        </w:rPr>
      </w:pPr>
    </w:p>
    <w:p w:rsidR="00927C01" w:rsidRPr="00D05254" w:rsidRDefault="00927C01" w:rsidP="00927C01">
      <w:pPr>
        <w:rPr>
          <w:rtl/>
        </w:rPr>
      </w:pPr>
      <w:r w:rsidRPr="00D05254">
        <w:rPr>
          <w:rFonts w:hint="cs"/>
          <w:rtl/>
        </w:rPr>
        <w:t xml:space="preserve">12 כרוניקות קיסרים ב </w:t>
      </w:r>
    </w:p>
    <w:p w:rsidR="00B021E1" w:rsidRPr="00D05254" w:rsidRDefault="00927C01" w:rsidP="00927C01">
      <w:pPr>
        <w:bidi w:val="0"/>
      </w:pPr>
      <w:r w:rsidRPr="00D05254">
        <w:t xml:space="preserve">Pedro </w:t>
      </w:r>
      <w:proofErr w:type="spellStart"/>
      <w:r w:rsidRPr="00D05254">
        <w:t>Paéz</w:t>
      </w:r>
      <w:proofErr w:type="spellEnd"/>
      <w:r w:rsidRPr="00D05254">
        <w:t xml:space="preserve">, </w:t>
      </w:r>
      <w:r w:rsidRPr="00D05254">
        <w:rPr>
          <w:i/>
          <w:iCs/>
        </w:rPr>
        <w:t xml:space="preserve">History of Ethiopia </w:t>
      </w:r>
      <w:r w:rsidRPr="00D05254">
        <w:t xml:space="preserve">ed. Isabel </w:t>
      </w:r>
      <w:proofErr w:type="spellStart"/>
      <w:r w:rsidRPr="00D05254">
        <w:t>Boavida</w:t>
      </w:r>
      <w:proofErr w:type="spellEnd"/>
      <w:r w:rsidRPr="00D05254">
        <w:t xml:space="preserve">, </w:t>
      </w:r>
      <w:proofErr w:type="spellStart"/>
      <w:r w:rsidRPr="00D05254">
        <w:t>Hervé</w:t>
      </w:r>
      <w:proofErr w:type="spellEnd"/>
      <w:r w:rsidRPr="00D05254">
        <w:t xml:space="preserve"> </w:t>
      </w:r>
      <w:proofErr w:type="spellStart"/>
      <w:r w:rsidRPr="00D05254">
        <w:t>Pennec</w:t>
      </w:r>
      <w:proofErr w:type="spellEnd"/>
      <w:r w:rsidRPr="00D05254">
        <w:t xml:space="preserve"> and Manuel </w:t>
      </w:r>
      <w:proofErr w:type="spellStart"/>
      <w:r w:rsidRPr="00D05254">
        <w:t>João</w:t>
      </w:r>
      <w:proofErr w:type="spellEnd"/>
      <w:r w:rsidRPr="00D05254">
        <w:t xml:space="preserve"> Ramos, </w:t>
      </w:r>
      <w:proofErr w:type="gramStart"/>
      <w:r w:rsidRPr="00D05254">
        <w:t>trans</w:t>
      </w:r>
      <w:proofErr w:type="gramEnd"/>
      <w:r w:rsidRPr="00D05254">
        <w:t xml:space="preserve">. </w:t>
      </w:r>
      <w:proofErr w:type="gramStart"/>
      <w:r w:rsidRPr="00D05254">
        <w:t>By Christopher J. Tribe,</w:t>
      </w:r>
      <w:r w:rsidR="00D05254" w:rsidRPr="00D05254">
        <w:t xml:space="preserve"> vol. 2,</w:t>
      </w:r>
      <w:r w:rsidRPr="00D05254">
        <w:rPr>
          <w:i/>
          <w:iCs/>
        </w:rPr>
        <w:t xml:space="preserve"> </w:t>
      </w:r>
      <w:r w:rsidRPr="00D05254">
        <w:t>London 2011,</w:t>
      </w:r>
      <w:r w:rsidR="00CA6A30" w:rsidRPr="00D05254">
        <w:t xml:space="preserve"> pp. </w:t>
      </w:r>
      <w:r w:rsidR="00D05254" w:rsidRPr="00D05254">
        <w:t>206-259.</w:t>
      </w:r>
      <w:proofErr w:type="gramEnd"/>
    </w:p>
    <w:p w:rsidR="00E21A49" w:rsidRPr="00D05254" w:rsidRDefault="00E21A49" w:rsidP="00E21A49">
      <w:pPr>
        <w:bidi w:val="0"/>
      </w:pPr>
    </w:p>
    <w:p w:rsidR="00B021E1" w:rsidRPr="00D05254" w:rsidRDefault="005A288F" w:rsidP="00B021E1">
      <w:pPr>
        <w:rPr>
          <w:rtl/>
        </w:rPr>
      </w:pPr>
      <w:r w:rsidRPr="00D05254">
        <w:rPr>
          <w:rFonts w:hint="cs"/>
          <w:rtl/>
        </w:rPr>
        <w:t>13</w:t>
      </w:r>
      <w:r w:rsidR="007616D3">
        <w:rPr>
          <w:rFonts w:hint="cs"/>
          <w:rtl/>
        </w:rPr>
        <w:t xml:space="preserve"> סוגית השבת</w:t>
      </w:r>
    </w:p>
    <w:p w:rsidR="00B021E1" w:rsidRPr="00D05254" w:rsidRDefault="00CA6A30" w:rsidP="00314A6B">
      <w:pPr>
        <w:bidi w:val="0"/>
        <w:rPr>
          <w:rtl/>
          <w:lang w:val="es-MX"/>
        </w:rPr>
      </w:pPr>
      <w:r w:rsidRPr="00D05254">
        <w:t xml:space="preserve">Susanne Hummel, "Abba </w:t>
      </w:r>
      <w:proofErr w:type="spellStart"/>
      <w:r w:rsidRPr="00D05254">
        <w:t>Latsun</w:t>
      </w:r>
      <w:proofErr w:type="spellEnd"/>
      <w:r w:rsidRPr="00D05254">
        <w:t xml:space="preserve"> and a Treatise on Sabbath Observance" in Denis </w:t>
      </w:r>
      <w:proofErr w:type="spellStart"/>
      <w:r w:rsidRPr="00D05254">
        <w:t>Nosnitsin</w:t>
      </w:r>
      <w:proofErr w:type="spellEnd"/>
      <w:r w:rsidRPr="00D05254">
        <w:t xml:space="preserve"> (ed.), </w:t>
      </w:r>
      <w:r w:rsidRPr="00D05254">
        <w:rPr>
          <w:i/>
          <w:iCs/>
        </w:rPr>
        <w:t xml:space="preserve">Veneration of Saints in Christian Ethiopia, </w:t>
      </w:r>
      <w:r w:rsidRPr="00D05254">
        <w:t xml:space="preserve">Wiesbaden: </w:t>
      </w:r>
      <w:proofErr w:type="spellStart"/>
      <w:r w:rsidRPr="00D05254">
        <w:t>Harrassowitz</w:t>
      </w:r>
      <w:proofErr w:type="spellEnd"/>
      <w:r w:rsidRPr="00D05254">
        <w:t xml:space="preserve">, 2015, pp. 67-94 </w:t>
      </w:r>
    </w:p>
    <w:p w:rsidR="00B021E1" w:rsidRPr="00D05254" w:rsidRDefault="00B021E1" w:rsidP="00B021E1">
      <w:pPr>
        <w:rPr>
          <w:rtl/>
        </w:rPr>
      </w:pPr>
    </w:p>
    <w:p w:rsidR="00B021E1" w:rsidRPr="00D05254" w:rsidRDefault="00B021E1" w:rsidP="00D05254">
      <w:pPr>
        <w:bidi w:val="0"/>
      </w:pPr>
      <w:r w:rsidRPr="00D05254">
        <w:t xml:space="preserve">Ephraim Isaac, </w:t>
      </w:r>
      <w:proofErr w:type="gramStart"/>
      <w:r w:rsidRPr="00D05254">
        <w:rPr>
          <w:i/>
          <w:iCs/>
        </w:rPr>
        <w:t>A</w:t>
      </w:r>
      <w:proofErr w:type="gramEnd"/>
      <w:r w:rsidRPr="00D05254">
        <w:rPr>
          <w:i/>
          <w:iCs/>
        </w:rPr>
        <w:t xml:space="preserve"> New Text-Critical Introduction to </w:t>
      </w:r>
      <w:proofErr w:type="spellStart"/>
      <w:r w:rsidRPr="00D05254">
        <w:rPr>
          <w:i/>
          <w:iCs/>
        </w:rPr>
        <w:t>Mashafa</w:t>
      </w:r>
      <w:proofErr w:type="spellEnd"/>
      <w:r w:rsidRPr="00D05254">
        <w:rPr>
          <w:i/>
          <w:iCs/>
        </w:rPr>
        <w:t xml:space="preserve"> </w:t>
      </w:r>
      <w:proofErr w:type="spellStart"/>
      <w:r w:rsidRPr="00D05254">
        <w:rPr>
          <w:i/>
          <w:iCs/>
        </w:rPr>
        <w:t>Berhan</w:t>
      </w:r>
      <w:proofErr w:type="spellEnd"/>
      <w:r w:rsidRPr="00D05254">
        <w:rPr>
          <w:i/>
          <w:iCs/>
        </w:rPr>
        <w:t xml:space="preserve">, </w:t>
      </w:r>
      <w:r w:rsidRPr="00D05254">
        <w:t>Leiden, 1973, pp. 80-108.</w:t>
      </w:r>
    </w:p>
    <w:p w:rsidR="00B021E1" w:rsidRPr="00D05254" w:rsidRDefault="00B021E1" w:rsidP="00D05254">
      <w:pPr>
        <w:bidi w:val="0"/>
        <w:rPr>
          <w:i/>
          <w:iCs/>
        </w:rPr>
      </w:pPr>
      <w:r w:rsidRPr="00D05254">
        <w:t xml:space="preserve">Wolf </w:t>
      </w:r>
      <w:proofErr w:type="spellStart"/>
      <w:r w:rsidRPr="00D05254">
        <w:t>Leslau</w:t>
      </w:r>
      <w:proofErr w:type="spellEnd"/>
      <w:r w:rsidRPr="00D05254">
        <w:t xml:space="preserve">, </w:t>
      </w:r>
      <w:proofErr w:type="spellStart"/>
      <w:r w:rsidRPr="00D05254">
        <w:rPr>
          <w:i/>
          <w:iCs/>
        </w:rPr>
        <w:t>Falasha</w:t>
      </w:r>
      <w:proofErr w:type="spellEnd"/>
      <w:r w:rsidRPr="00D05254">
        <w:rPr>
          <w:i/>
          <w:iCs/>
        </w:rPr>
        <w:t xml:space="preserve"> </w:t>
      </w:r>
      <w:proofErr w:type="spellStart"/>
      <w:r w:rsidRPr="00D05254">
        <w:rPr>
          <w:i/>
          <w:iCs/>
        </w:rPr>
        <w:t>Antology</w:t>
      </w:r>
      <w:proofErr w:type="spellEnd"/>
      <w:r w:rsidRPr="00D05254">
        <w:rPr>
          <w:i/>
          <w:iCs/>
        </w:rPr>
        <w:t xml:space="preserve">, </w:t>
      </w:r>
      <w:r w:rsidRPr="00D05254">
        <w:t>New York, 1969, pp. 1-39.</w:t>
      </w:r>
      <w:r w:rsidRPr="00D05254">
        <w:rPr>
          <w:i/>
          <w:iCs/>
        </w:rPr>
        <w:t xml:space="preserve"> </w:t>
      </w:r>
    </w:p>
    <w:p w:rsidR="00B021E1" w:rsidRPr="00D05254" w:rsidRDefault="005A288F" w:rsidP="00B021E1">
      <w:pPr>
        <w:rPr>
          <w:rtl/>
        </w:rPr>
      </w:pPr>
      <w:r w:rsidRPr="00D05254">
        <w:rPr>
          <w:rFonts w:hint="cs"/>
          <w:rtl/>
        </w:rPr>
        <w:t>15</w:t>
      </w:r>
      <w:r w:rsidR="00314A6B" w:rsidRPr="00D05254">
        <w:rPr>
          <w:rFonts w:hint="cs"/>
          <w:rtl/>
        </w:rPr>
        <w:t xml:space="preserve"> פרשנות המקרא:</w:t>
      </w:r>
    </w:p>
    <w:p w:rsidR="00314A6B" w:rsidRPr="00D05254" w:rsidRDefault="00314A6B" w:rsidP="00314A6B">
      <w:pPr>
        <w:bidi w:val="0"/>
      </w:pPr>
      <w:proofErr w:type="spellStart"/>
      <w:r w:rsidRPr="00D05254">
        <w:t>Getatchew</w:t>
      </w:r>
      <w:proofErr w:type="spellEnd"/>
      <w:r w:rsidRPr="00D05254">
        <w:t xml:space="preserve"> Haile and </w:t>
      </w:r>
      <w:proofErr w:type="spellStart"/>
      <w:r w:rsidRPr="00D05254">
        <w:t>Misrak</w:t>
      </w:r>
      <w:proofErr w:type="spellEnd"/>
      <w:r w:rsidRPr="00D05254">
        <w:t xml:space="preserve"> Amare, </w:t>
      </w:r>
      <w:r w:rsidRPr="00D05254">
        <w:rPr>
          <w:i/>
          <w:iCs/>
        </w:rPr>
        <w:t xml:space="preserve">Beauty of the Creation, </w:t>
      </w:r>
      <w:r w:rsidRPr="00D05254">
        <w:t>Journal of Semitic Studies (Monograph): University of Manchester, 1991.</w:t>
      </w:r>
    </w:p>
    <w:p w:rsidR="00314A6B" w:rsidRPr="00D05254" w:rsidRDefault="000E2573" w:rsidP="000E2573">
      <w:pPr>
        <w:rPr>
          <w:rtl/>
        </w:rPr>
      </w:pPr>
      <w:r w:rsidRPr="00D05254">
        <w:rPr>
          <w:rFonts w:hint="cs"/>
          <w:rtl/>
        </w:rPr>
        <w:t>16 האסלאם בספרות האתיופית</w:t>
      </w:r>
    </w:p>
    <w:p w:rsidR="00E55B55" w:rsidRPr="00D05254" w:rsidRDefault="000E2573" w:rsidP="00E55B55">
      <w:pPr>
        <w:bidi w:val="0"/>
      </w:pPr>
      <w:r w:rsidRPr="00D05254">
        <w:t xml:space="preserve">Abraham </w:t>
      </w:r>
      <w:proofErr w:type="spellStart"/>
      <w:r w:rsidRPr="00D05254">
        <w:t>Demoz</w:t>
      </w:r>
      <w:proofErr w:type="spellEnd"/>
      <w:r w:rsidRPr="00D05254">
        <w:t xml:space="preserve"> "Moslems and Islam in Ethiopian Literature," </w:t>
      </w:r>
      <w:r w:rsidRPr="00D05254">
        <w:rPr>
          <w:i/>
          <w:iCs/>
        </w:rPr>
        <w:t>Journal of Ethiopian Studies,</w:t>
      </w:r>
      <w:r w:rsidRPr="00D05254">
        <w:t xml:space="preserve"> 10 (1972)</w:t>
      </w:r>
      <w:r w:rsidRPr="00D05254">
        <w:rPr>
          <w:i/>
          <w:iCs/>
        </w:rPr>
        <w:t xml:space="preserve"> </w:t>
      </w:r>
      <w:r w:rsidRPr="00D05254">
        <w:t>1-12.</w:t>
      </w:r>
    </w:p>
    <w:p w:rsidR="000E2573" w:rsidRPr="00D05254" w:rsidRDefault="000E2573" w:rsidP="000E2573">
      <w:pPr>
        <w:bidi w:val="0"/>
      </w:pPr>
      <w:r w:rsidRPr="00D05254">
        <w:t xml:space="preserve">Donald </w:t>
      </w:r>
      <w:proofErr w:type="spellStart"/>
      <w:r w:rsidRPr="00D05254">
        <w:t>Crummey</w:t>
      </w:r>
      <w:proofErr w:type="spellEnd"/>
      <w:r w:rsidRPr="00D05254">
        <w:t xml:space="preserve">, "Shaikh </w:t>
      </w:r>
      <w:proofErr w:type="spellStart"/>
      <w:r w:rsidRPr="00D05254">
        <w:t>Zakaryas</w:t>
      </w:r>
      <w:proofErr w:type="spellEnd"/>
      <w:r w:rsidRPr="00D05254">
        <w:t xml:space="preserve">: an Ethiopian Prophet," </w:t>
      </w:r>
      <w:r w:rsidRPr="00D05254">
        <w:rPr>
          <w:i/>
          <w:iCs/>
        </w:rPr>
        <w:t xml:space="preserve">Journal of Ethiopian Studies, </w:t>
      </w:r>
      <w:r w:rsidRPr="00D05254">
        <w:t>10 (1972) 55-66.</w:t>
      </w:r>
    </w:p>
    <w:p w:rsidR="00B021E1" w:rsidRPr="00D05254" w:rsidRDefault="000E2573" w:rsidP="00B021E1">
      <w:pPr>
        <w:rPr>
          <w:rtl/>
        </w:rPr>
      </w:pPr>
      <w:r w:rsidRPr="00D05254">
        <w:rPr>
          <w:rFonts w:hint="cs"/>
          <w:rtl/>
        </w:rPr>
        <w:t xml:space="preserve">17 </w:t>
      </w:r>
      <w:r w:rsidR="00B021E1" w:rsidRPr="00D05254">
        <w:rPr>
          <w:rFonts w:hint="cs"/>
          <w:rtl/>
        </w:rPr>
        <w:t xml:space="preserve">ספרות אתיופית אודות </w:t>
      </w:r>
      <w:proofErr w:type="spellStart"/>
      <w:r w:rsidR="00B021E1" w:rsidRPr="00D05254">
        <w:rPr>
          <w:rFonts w:hint="cs"/>
          <w:rtl/>
        </w:rPr>
        <w:t>מירים</w:t>
      </w:r>
      <w:proofErr w:type="spellEnd"/>
      <w:r w:rsidR="00B021E1" w:rsidRPr="00D05254">
        <w:rPr>
          <w:rFonts w:hint="cs"/>
          <w:rtl/>
        </w:rPr>
        <w:t xml:space="preserve"> הבתולה</w:t>
      </w:r>
    </w:p>
    <w:p w:rsidR="00927C01" w:rsidRPr="00D05254" w:rsidRDefault="00927C01" w:rsidP="00B021E1"/>
    <w:p w:rsidR="00927C01" w:rsidRDefault="000E2573" w:rsidP="00927C01">
      <w:pPr>
        <w:bidi w:val="0"/>
      </w:pPr>
      <w:r w:rsidRPr="00D05254">
        <w:t xml:space="preserve">Amsalu Tefera, </w:t>
      </w:r>
      <w:proofErr w:type="gramStart"/>
      <w:r w:rsidRPr="00D05254">
        <w:rPr>
          <w:i/>
          <w:iCs/>
        </w:rPr>
        <w:t>The</w:t>
      </w:r>
      <w:proofErr w:type="gramEnd"/>
      <w:r w:rsidRPr="00D05254">
        <w:rPr>
          <w:i/>
          <w:iCs/>
        </w:rPr>
        <w:t xml:space="preserve"> Ethiopian H</w:t>
      </w:r>
      <w:r w:rsidR="00B43628" w:rsidRPr="00D05254">
        <w:rPr>
          <w:i/>
          <w:iCs/>
        </w:rPr>
        <w:t>omily on the Ark of the Covenant</w:t>
      </w:r>
      <w:r w:rsidRPr="00D05254">
        <w:rPr>
          <w:i/>
          <w:iCs/>
        </w:rPr>
        <w:t>,</w:t>
      </w:r>
      <w:r w:rsidR="00D05254">
        <w:t xml:space="preserve"> Leiden-Boston: Brill, 2015.</w:t>
      </w:r>
    </w:p>
    <w:p w:rsidR="00D05254" w:rsidRPr="00D05254" w:rsidRDefault="00D05254" w:rsidP="00D05254">
      <w:pPr>
        <w:bidi w:val="0"/>
      </w:pPr>
    </w:p>
    <w:p w:rsidR="00B021E1" w:rsidRPr="00D05254" w:rsidRDefault="000E2573" w:rsidP="000E2573">
      <w:pPr>
        <w:rPr>
          <w:rtl/>
        </w:rPr>
      </w:pPr>
      <w:r w:rsidRPr="00D05254">
        <w:rPr>
          <w:rFonts w:hint="cs"/>
          <w:rtl/>
        </w:rPr>
        <w:t xml:space="preserve">18 </w:t>
      </w:r>
      <w:r w:rsidR="00B021E1" w:rsidRPr="00D05254">
        <w:rPr>
          <w:rFonts w:hint="cs"/>
          <w:rtl/>
        </w:rPr>
        <w:t>כיבוש האסלאם והמקורות הפורטוגלים</w:t>
      </w:r>
    </w:p>
    <w:p w:rsidR="00B021E1" w:rsidRPr="00D05254" w:rsidRDefault="00B021E1" w:rsidP="00F44AC6">
      <w:pPr>
        <w:bidi w:val="0"/>
      </w:pPr>
      <w:r w:rsidRPr="00D05254">
        <w:rPr>
          <w:i/>
          <w:iCs/>
        </w:rPr>
        <w:t xml:space="preserve">The Portuguese expedition to Abyssinia in 1541-1543 as narrated by </w:t>
      </w:r>
      <w:proofErr w:type="spellStart"/>
      <w:r w:rsidR="00314A6B" w:rsidRPr="00D05254">
        <w:rPr>
          <w:i/>
          <w:iCs/>
        </w:rPr>
        <w:t>Castanhoso</w:t>
      </w:r>
      <w:proofErr w:type="spellEnd"/>
      <w:r w:rsidRPr="00D05254">
        <w:rPr>
          <w:i/>
          <w:iCs/>
        </w:rPr>
        <w:t>:</w:t>
      </w:r>
      <w:r w:rsidR="00314A6B" w:rsidRPr="00D05254">
        <w:rPr>
          <w:i/>
          <w:iCs/>
        </w:rPr>
        <w:t xml:space="preserve"> </w:t>
      </w:r>
      <w:r w:rsidRPr="00D05254">
        <w:rPr>
          <w:i/>
          <w:iCs/>
        </w:rPr>
        <w:t xml:space="preserve">with some contemporary letters, the short account of Bermudez, and certain extracts from </w:t>
      </w:r>
      <w:proofErr w:type="spellStart"/>
      <w:r w:rsidRPr="00D05254">
        <w:rPr>
          <w:i/>
          <w:iCs/>
        </w:rPr>
        <w:t>Corrêa</w:t>
      </w:r>
      <w:proofErr w:type="spellEnd"/>
      <w:r w:rsidRPr="00D05254">
        <w:rPr>
          <w:i/>
          <w:iCs/>
        </w:rPr>
        <w:t>.</w:t>
      </w:r>
      <w:r w:rsidRPr="00D05254">
        <w:t xml:space="preserve"> /Translated and edited by R. S. </w:t>
      </w:r>
      <w:proofErr w:type="spellStart"/>
      <w:r w:rsidRPr="00D05254">
        <w:t>Whiteway</w:t>
      </w:r>
      <w:proofErr w:type="spellEnd"/>
      <w:r w:rsidRPr="00D05254">
        <w:t xml:space="preserve">., </w:t>
      </w:r>
      <w:proofErr w:type="spellStart"/>
      <w:r w:rsidRPr="00D05254">
        <w:t>Hakluys</w:t>
      </w:r>
      <w:proofErr w:type="spellEnd"/>
      <w:r w:rsidRPr="00D05254">
        <w:t xml:space="preserve"> Society – </w:t>
      </w:r>
      <w:proofErr w:type="spellStart"/>
      <w:r w:rsidRPr="00D05254">
        <w:t>Nendeln</w:t>
      </w:r>
      <w:proofErr w:type="spellEnd"/>
      <w:r w:rsidRPr="00D05254">
        <w:t>/Liechtenstein, 1967, pp. 226-73.</w:t>
      </w:r>
    </w:p>
    <w:p w:rsidR="00F44AC6" w:rsidRPr="00D05254" w:rsidRDefault="00F44AC6" w:rsidP="00F44AC6">
      <w:pPr>
        <w:bidi w:val="0"/>
        <w:jc w:val="right"/>
      </w:pPr>
    </w:p>
    <w:p w:rsidR="00F44AC6" w:rsidRPr="00D05254" w:rsidRDefault="000E2573" w:rsidP="000E2573">
      <w:pPr>
        <w:rPr>
          <w:rtl/>
        </w:rPr>
      </w:pPr>
      <w:r w:rsidRPr="00D05254">
        <w:rPr>
          <w:rFonts w:hint="cs"/>
          <w:rtl/>
          <w:lang w:val="es-MX"/>
        </w:rPr>
        <w:lastRenderedPageBreak/>
        <w:t>19</w:t>
      </w:r>
      <w:r w:rsidR="00F44AC6" w:rsidRPr="00D05254">
        <w:rPr>
          <w:rFonts w:hint="cs"/>
          <w:rtl/>
          <w:lang w:val="es-MX"/>
        </w:rPr>
        <w:t xml:space="preserve"> המיסיון הישועי לאתיופיה</w:t>
      </w:r>
      <w:r w:rsidRPr="00D05254">
        <w:rPr>
          <w:rFonts w:hint="cs"/>
          <w:rtl/>
        </w:rPr>
        <w:t>.</w:t>
      </w:r>
    </w:p>
    <w:p w:rsidR="00F44AC6" w:rsidRDefault="00F44AC6" w:rsidP="00F44AC6">
      <w:pPr>
        <w:bidi w:val="0"/>
      </w:pPr>
      <w:r w:rsidRPr="00D05254">
        <w:t xml:space="preserve">Leonardo Cohen, “The Catholic Kingdom of Ethiopia: Father Manuel de Almeida’s Account of the Imperial Conversion Ceremony,” </w:t>
      </w:r>
      <w:r w:rsidRPr="00D05254">
        <w:rPr>
          <w:i/>
          <w:iCs/>
        </w:rPr>
        <w:t>Lusitania Sacra</w:t>
      </w:r>
      <w:r w:rsidR="00D05254">
        <w:rPr>
          <w:i/>
          <w:iCs/>
        </w:rPr>
        <w:t xml:space="preserve">, </w:t>
      </w:r>
      <w:r w:rsidR="007616D3">
        <w:rPr>
          <w:rFonts w:asciiTheme="majorBidi" w:hAnsiTheme="majorBidi" w:cstheme="majorBidi"/>
          <w:sz w:val="24"/>
          <w:szCs w:val="24"/>
        </w:rPr>
        <w:t>29 (2014)</w:t>
      </w:r>
      <w:r w:rsidR="00E807D5" w:rsidRPr="00984C65">
        <w:rPr>
          <w:rFonts w:asciiTheme="majorBidi" w:hAnsiTheme="majorBidi" w:cstheme="majorBidi"/>
          <w:sz w:val="24"/>
          <w:szCs w:val="24"/>
        </w:rPr>
        <w:t xml:space="preserve"> 143-179.</w:t>
      </w:r>
    </w:p>
    <w:p w:rsidR="00E807D5" w:rsidRPr="00D05254" w:rsidRDefault="00E807D5" w:rsidP="00E807D5">
      <w:pPr>
        <w:bidi w:val="0"/>
      </w:pPr>
    </w:p>
    <w:p w:rsidR="00B021E1" w:rsidRPr="00D05254" w:rsidRDefault="000E2573" w:rsidP="00F44AC6">
      <w:pPr>
        <w:rPr>
          <w:rtl/>
          <w:lang w:val="es-MX"/>
        </w:rPr>
      </w:pPr>
      <w:r w:rsidRPr="00D05254">
        <w:rPr>
          <w:rFonts w:hint="cs"/>
          <w:rtl/>
          <w:lang w:val="es-MX"/>
        </w:rPr>
        <w:t xml:space="preserve">20 </w:t>
      </w:r>
      <w:r w:rsidR="00B021E1" w:rsidRPr="00D05254">
        <w:rPr>
          <w:rFonts w:hint="cs"/>
          <w:rtl/>
          <w:lang w:val="es-MX"/>
        </w:rPr>
        <w:t>תנועות משיחיות</w:t>
      </w:r>
    </w:p>
    <w:p w:rsidR="00B021E1" w:rsidRPr="00D05254" w:rsidRDefault="00B021E1" w:rsidP="00B021E1"/>
    <w:p w:rsidR="00B021E1" w:rsidRPr="00D05254" w:rsidRDefault="00B021E1" w:rsidP="00F44AC6">
      <w:pPr>
        <w:bidi w:val="0"/>
      </w:pPr>
      <w:r w:rsidRPr="00D05254">
        <w:t xml:space="preserve">Pedro </w:t>
      </w:r>
      <w:proofErr w:type="spellStart"/>
      <w:r w:rsidRPr="00D05254">
        <w:t>Paéz</w:t>
      </w:r>
      <w:proofErr w:type="spellEnd"/>
      <w:r w:rsidRPr="00D05254">
        <w:t xml:space="preserve">, </w:t>
      </w:r>
      <w:r w:rsidRPr="00D05254">
        <w:rPr>
          <w:i/>
          <w:iCs/>
        </w:rPr>
        <w:t xml:space="preserve">History of Ethiopia </w:t>
      </w:r>
      <w:r w:rsidRPr="00D05254">
        <w:t xml:space="preserve">ed. Isabel </w:t>
      </w:r>
      <w:proofErr w:type="spellStart"/>
      <w:r w:rsidRPr="00D05254">
        <w:t>Boavida</w:t>
      </w:r>
      <w:proofErr w:type="spellEnd"/>
      <w:r w:rsidRPr="00D05254">
        <w:t xml:space="preserve">, </w:t>
      </w:r>
      <w:proofErr w:type="spellStart"/>
      <w:r w:rsidRPr="00D05254">
        <w:t>Hervé</w:t>
      </w:r>
      <w:proofErr w:type="spellEnd"/>
      <w:r w:rsidRPr="00D05254">
        <w:t xml:space="preserve"> </w:t>
      </w:r>
      <w:proofErr w:type="spellStart"/>
      <w:r w:rsidRPr="00D05254">
        <w:t>Pennec</w:t>
      </w:r>
      <w:proofErr w:type="spellEnd"/>
      <w:r w:rsidRPr="00D05254">
        <w:t xml:space="preserve"> and Manuel </w:t>
      </w:r>
      <w:proofErr w:type="spellStart"/>
      <w:r w:rsidRPr="00D05254">
        <w:t>João</w:t>
      </w:r>
      <w:proofErr w:type="spellEnd"/>
      <w:r w:rsidRPr="00D05254">
        <w:t xml:space="preserve"> Ramos, </w:t>
      </w:r>
      <w:proofErr w:type="gramStart"/>
      <w:r w:rsidRPr="00D05254">
        <w:t>trans</w:t>
      </w:r>
      <w:proofErr w:type="gramEnd"/>
      <w:r w:rsidRPr="00D05254">
        <w:t xml:space="preserve">. </w:t>
      </w:r>
      <w:proofErr w:type="gramStart"/>
      <w:r w:rsidRPr="00D05254">
        <w:t>By Christopher J. Tribe,</w:t>
      </w:r>
      <w:r w:rsidRPr="00D05254">
        <w:rPr>
          <w:i/>
          <w:iCs/>
        </w:rPr>
        <w:t xml:space="preserve"> </w:t>
      </w:r>
      <w:r w:rsidRPr="00D05254">
        <w:t xml:space="preserve">London 2011, </w:t>
      </w:r>
      <w:proofErr w:type="spellStart"/>
      <w:r w:rsidRPr="00D05254">
        <w:t>vol</w:t>
      </w:r>
      <w:proofErr w:type="spellEnd"/>
      <w:r w:rsidRPr="00D05254">
        <w:t xml:space="preserve"> 1, pp. 362-364; vol. 2, pp. 256-257.</w:t>
      </w:r>
      <w:proofErr w:type="gramEnd"/>
    </w:p>
    <w:p w:rsidR="00B021E1" w:rsidRPr="00D05254" w:rsidRDefault="00B021E1" w:rsidP="00B021E1"/>
    <w:p w:rsidR="00B021E1" w:rsidRPr="00D05254" w:rsidRDefault="00B021E1" w:rsidP="00F44AC6">
      <w:pPr>
        <w:bidi w:val="0"/>
      </w:pPr>
      <w:proofErr w:type="spellStart"/>
      <w:r w:rsidRPr="00D05254">
        <w:t>Getatcew</w:t>
      </w:r>
      <w:proofErr w:type="spellEnd"/>
      <w:r w:rsidRPr="00D05254">
        <w:t xml:space="preserve"> Haile, “A Christ for the Gentiles: the Case of </w:t>
      </w:r>
      <w:proofErr w:type="spellStart"/>
      <w:r w:rsidRPr="00D05254">
        <w:t>Za</w:t>
      </w:r>
      <w:proofErr w:type="spellEnd"/>
      <w:r w:rsidRPr="00D05254">
        <w:t xml:space="preserve"> </w:t>
      </w:r>
      <w:proofErr w:type="spellStart"/>
      <w:r w:rsidRPr="00D05254">
        <w:t>Krestos</w:t>
      </w:r>
      <w:proofErr w:type="spellEnd"/>
      <w:r w:rsidRPr="00D05254">
        <w:t xml:space="preserve"> of Ethiopia”, </w:t>
      </w:r>
      <w:r w:rsidRPr="00D05254">
        <w:rPr>
          <w:i/>
          <w:iCs/>
        </w:rPr>
        <w:t xml:space="preserve">Journal of Religion in Africa, </w:t>
      </w:r>
      <w:r w:rsidRPr="00D05254">
        <w:t>15, 2 (1985), pp. 86-95.</w:t>
      </w:r>
    </w:p>
    <w:p w:rsidR="00B021E1" w:rsidRPr="00D05254" w:rsidRDefault="00B021E1" w:rsidP="00B021E1">
      <w:pPr>
        <w:rPr>
          <w:rtl/>
        </w:rPr>
      </w:pPr>
    </w:p>
    <w:p w:rsidR="00F44AC6" w:rsidRPr="00D05254" w:rsidRDefault="000E2573" w:rsidP="00F44AC6">
      <w:pPr>
        <w:rPr>
          <w:rtl/>
        </w:rPr>
      </w:pPr>
      <w:r w:rsidRPr="00D05254">
        <w:rPr>
          <w:rFonts w:hint="cs"/>
          <w:rtl/>
        </w:rPr>
        <w:t>21</w:t>
      </w:r>
      <w:r w:rsidR="00F44AC6" w:rsidRPr="00D05254">
        <w:rPr>
          <w:rFonts w:hint="cs"/>
          <w:rtl/>
        </w:rPr>
        <w:t>: מגדר: חיי נזירות</w:t>
      </w:r>
    </w:p>
    <w:p w:rsidR="00E807D5" w:rsidRPr="00A87207" w:rsidRDefault="00E807D5" w:rsidP="00E807D5">
      <w:pPr>
        <w:pStyle w:val="CohenBibliography"/>
      </w:pPr>
      <w:r>
        <w:rPr>
          <w:lang w:val="en-US"/>
        </w:rPr>
        <w:t xml:space="preserve">Verena </w:t>
      </w:r>
      <w:proofErr w:type="spellStart"/>
      <w:r>
        <w:rPr>
          <w:lang w:val="en-US"/>
        </w:rPr>
        <w:t>B</w:t>
      </w:r>
      <w:r>
        <w:rPr>
          <w:rFonts w:ascii="Times New Roman" w:hAnsi="Times New Roman"/>
          <w:lang w:val="en-US"/>
        </w:rPr>
        <w:t>ö</w:t>
      </w:r>
      <w:r w:rsidR="006014E9" w:rsidRPr="00E807D5">
        <w:rPr>
          <w:lang w:val="en-US"/>
        </w:rPr>
        <w:t>ll</w:t>
      </w:r>
      <w:proofErr w:type="spellEnd"/>
      <w:r w:rsidR="006014E9" w:rsidRPr="00E807D5">
        <w:rPr>
          <w:lang w:val="en-US"/>
        </w:rPr>
        <w:t>,</w:t>
      </w:r>
      <w:r w:rsidRPr="00E807D5">
        <w:rPr>
          <w:lang w:val="en-US"/>
        </w:rPr>
        <w:t xml:space="preserve"> </w:t>
      </w:r>
      <w:r w:rsidRPr="00A87207">
        <w:t xml:space="preserve">“Holy Women in Ethiopia“, </w:t>
      </w:r>
      <w:r w:rsidRPr="00A87207">
        <w:rPr>
          <w:i/>
        </w:rPr>
        <w:t>Saints, Biographies and History in Africa</w:t>
      </w:r>
      <w:r w:rsidRPr="00A87207">
        <w:t xml:space="preserve">, ed. by </w:t>
      </w:r>
      <w:r>
        <w:t xml:space="preserve">Bertrand Hirsch – Manfred </w:t>
      </w:r>
      <w:proofErr w:type="spellStart"/>
      <w:r>
        <w:t>Kropp</w:t>
      </w:r>
      <w:proofErr w:type="spellEnd"/>
      <w:r w:rsidRPr="00AF3E29">
        <w:rPr>
          <w:lang w:val="de-DE"/>
        </w:rPr>
        <w:t xml:space="preserve"> (Frankfurt am Main</w:t>
      </w:r>
      <w:r w:rsidRPr="00A87207">
        <w:t xml:space="preserve">, 2003), pp. 31–45. </w:t>
      </w:r>
    </w:p>
    <w:p w:rsidR="00F44AC6" w:rsidRPr="00E807D5" w:rsidRDefault="00F44AC6" w:rsidP="00E807D5">
      <w:pPr>
        <w:bidi w:val="0"/>
        <w:rPr>
          <w:rtl/>
        </w:rPr>
      </w:pPr>
    </w:p>
    <w:p w:rsidR="00B021E1" w:rsidRPr="00D05254" w:rsidRDefault="000E2573" w:rsidP="00F44AC6">
      <w:pPr>
        <w:rPr>
          <w:rtl/>
        </w:rPr>
      </w:pPr>
      <w:r w:rsidRPr="00D05254">
        <w:rPr>
          <w:rFonts w:hint="cs"/>
          <w:rtl/>
        </w:rPr>
        <w:t>22</w:t>
      </w:r>
      <w:r w:rsidR="00F44AC6" w:rsidRPr="00D05254">
        <w:rPr>
          <w:rFonts w:hint="cs"/>
          <w:rtl/>
        </w:rPr>
        <w:t xml:space="preserve">: </w:t>
      </w:r>
      <w:r w:rsidR="00B021E1" w:rsidRPr="00D05254">
        <w:rPr>
          <w:rFonts w:hint="cs"/>
          <w:rtl/>
        </w:rPr>
        <w:t>מפעלי תרגום בראשית העת החדשה</w:t>
      </w:r>
    </w:p>
    <w:p w:rsidR="00F44AC6" w:rsidRPr="00E807D5" w:rsidRDefault="006014E9" w:rsidP="006014E9">
      <w:pPr>
        <w:bidi w:val="0"/>
      </w:pPr>
      <w:proofErr w:type="spellStart"/>
      <w:r w:rsidRPr="00D05254">
        <w:t>Kebede</w:t>
      </w:r>
      <w:proofErr w:type="spellEnd"/>
      <w:r w:rsidRPr="00D05254">
        <w:t xml:space="preserve"> </w:t>
      </w:r>
      <w:proofErr w:type="spellStart"/>
      <w:r w:rsidRPr="00D05254">
        <w:t>Hardofa</w:t>
      </w:r>
      <w:proofErr w:type="spellEnd"/>
      <w:r w:rsidRPr="00D05254">
        <w:t xml:space="preserve"> </w:t>
      </w:r>
      <w:proofErr w:type="spellStart"/>
      <w:r w:rsidRPr="00D05254">
        <w:t>Janko</w:t>
      </w:r>
      <w:proofErr w:type="spellEnd"/>
      <w:r w:rsidRPr="00E807D5">
        <w:t xml:space="preserve">, </w:t>
      </w:r>
      <w:r w:rsidR="00E807D5" w:rsidRPr="00E807D5">
        <w:t>"</w:t>
      </w:r>
      <w:r w:rsidRPr="00E807D5">
        <w:t>Missionaries, Enslaved Oromo and their Contribution t</w:t>
      </w:r>
      <w:r w:rsidR="00E807D5" w:rsidRPr="00E807D5">
        <w:t>o the Development of the Oromo L</w:t>
      </w:r>
      <w:r w:rsidRPr="00E807D5">
        <w:t>an</w:t>
      </w:r>
      <w:r w:rsidR="00E807D5" w:rsidRPr="00E807D5">
        <w:t>guage: an Overview,"</w:t>
      </w:r>
      <w:r w:rsidR="00E807D5">
        <w:rPr>
          <w:i/>
          <w:iCs/>
        </w:rPr>
        <w:t xml:space="preserve"> </w:t>
      </w:r>
      <w:r w:rsidR="00E807D5" w:rsidRPr="00E807D5">
        <w:t xml:space="preserve">in Verena </w:t>
      </w:r>
      <w:proofErr w:type="spellStart"/>
      <w:r w:rsidR="00E807D5" w:rsidRPr="00E807D5">
        <w:t>B</w:t>
      </w:r>
      <w:r w:rsidR="00E807D5" w:rsidRPr="00E807D5">
        <w:rPr>
          <w:rFonts w:ascii="Times New Roman" w:hAnsi="Times New Roman" w:cs="Times New Roman"/>
        </w:rPr>
        <w:t>ö</w:t>
      </w:r>
      <w:r w:rsidRPr="00E807D5">
        <w:t>ll</w:t>
      </w:r>
      <w:proofErr w:type="spellEnd"/>
      <w:r w:rsidRPr="00E807D5">
        <w:t xml:space="preserve"> et al, </w:t>
      </w:r>
      <w:r w:rsidRPr="00E807D5">
        <w:rPr>
          <w:i/>
          <w:iCs/>
        </w:rPr>
        <w:t xml:space="preserve">Ethiopia and the Missions. Historical </w:t>
      </w:r>
      <w:r w:rsidR="00E807D5">
        <w:rPr>
          <w:i/>
          <w:iCs/>
        </w:rPr>
        <w:t>and Anthropological I</w:t>
      </w:r>
      <w:r w:rsidR="00E807D5" w:rsidRPr="00E807D5">
        <w:rPr>
          <w:i/>
          <w:iCs/>
        </w:rPr>
        <w:t xml:space="preserve">nsights, </w:t>
      </w:r>
      <w:proofErr w:type="spellStart"/>
      <w:r w:rsidR="00E807D5">
        <w:t>M</w:t>
      </w:r>
      <w:r w:rsidR="00E807D5">
        <w:rPr>
          <w:rFonts w:ascii="Times New Roman" w:hAnsi="Times New Roman" w:cs="Times New Roman"/>
        </w:rPr>
        <w:t>ü</w:t>
      </w:r>
      <w:r w:rsidRPr="00E807D5">
        <w:t>nster</w:t>
      </w:r>
      <w:proofErr w:type="spellEnd"/>
      <w:r w:rsidRPr="00E807D5">
        <w:t xml:space="preserve">, Lit </w:t>
      </w:r>
      <w:proofErr w:type="spellStart"/>
      <w:r w:rsidRPr="00E807D5">
        <w:t>Verlag</w:t>
      </w:r>
      <w:proofErr w:type="spellEnd"/>
      <w:r w:rsidRPr="00E807D5">
        <w:t>, 2005, pp. 63-78.</w:t>
      </w:r>
    </w:p>
    <w:p w:rsidR="00B021E1" w:rsidRPr="00D05254" w:rsidRDefault="00B021E1" w:rsidP="00B021E1"/>
    <w:p w:rsidR="00B021E1" w:rsidRPr="00D05254" w:rsidRDefault="00F44AC6" w:rsidP="00B021E1">
      <w:pPr>
        <w:rPr>
          <w:rtl/>
          <w:lang w:val="es-MX"/>
        </w:rPr>
      </w:pPr>
      <w:r w:rsidRPr="00D05254">
        <w:t>23</w:t>
      </w:r>
      <w:r w:rsidR="007616D3">
        <w:rPr>
          <w:rFonts w:hint="cs"/>
          <w:rtl/>
          <w:lang w:val="es-MX"/>
        </w:rPr>
        <w:t xml:space="preserve"> </w:t>
      </w:r>
      <w:r w:rsidR="00B021E1" w:rsidRPr="00D05254">
        <w:rPr>
          <w:rFonts w:hint="cs"/>
          <w:rtl/>
          <w:lang w:val="es-MX"/>
        </w:rPr>
        <w:t xml:space="preserve">הספרות של יהודי אתיופיה          </w:t>
      </w:r>
    </w:p>
    <w:p w:rsidR="00B021E1" w:rsidRPr="00D05254" w:rsidRDefault="00B021E1" w:rsidP="00B021E1">
      <w:pPr>
        <w:rPr>
          <w:rtl/>
          <w:lang w:val="es-MX"/>
        </w:rPr>
      </w:pPr>
    </w:p>
    <w:p w:rsidR="00B021E1" w:rsidRPr="00D05254" w:rsidRDefault="00B021E1" w:rsidP="000E2573">
      <w:pPr>
        <w:rPr>
          <w:lang w:val="es-MX"/>
        </w:rPr>
      </w:pPr>
      <w:r w:rsidRPr="00D05254">
        <w:rPr>
          <w:rFonts w:hint="cs"/>
          <w:rtl/>
          <w:lang w:val="es-MX"/>
        </w:rPr>
        <w:t xml:space="preserve">מרדכי </w:t>
      </w:r>
      <w:proofErr w:type="spellStart"/>
      <w:r w:rsidRPr="00D05254">
        <w:rPr>
          <w:rFonts w:hint="cs"/>
          <w:rtl/>
          <w:lang w:val="es-MX"/>
        </w:rPr>
        <w:t>וורמברנרד</w:t>
      </w:r>
      <w:proofErr w:type="spellEnd"/>
      <w:r w:rsidRPr="00D05254">
        <w:rPr>
          <w:rFonts w:hint="cs"/>
          <w:rtl/>
          <w:lang w:val="es-MX"/>
        </w:rPr>
        <w:t xml:space="preserve">, </w:t>
      </w:r>
      <w:r w:rsidRPr="00D05254">
        <w:rPr>
          <w:rFonts w:hint="cs"/>
          <w:i/>
          <w:iCs/>
          <w:rtl/>
          <w:lang w:val="es-MX"/>
        </w:rPr>
        <w:t>פטירת אהרן</w:t>
      </w:r>
      <w:r w:rsidRPr="00D05254">
        <w:rPr>
          <w:rFonts w:hint="cs"/>
          <w:rtl/>
          <w:lang w:val="es-MX"/>
        </w:rPr>
        <w:t>, תל אביב, תשכ"א.</w:t>
      </w:r>
    </w:p>
    <w:p w:rsidR="00B021E1" w:rsidRPr="00D05254" w:rsidRDefault="00B021E1" w:rsidP="00B021E1">
      <w:pPr>
        <w:rPr>
          <w:rtl/>
          <w:lang w:val="es-MX"/>
        </w:rPr>
      </w:pPr>
    </w:p>
    <w:p w:rsidR="00B021E1" w:rsidRPr="00D05254" w:rsidRDefault="00F44AC6" w:rsidP="00B021E1">
      <w:pPr>
        <w:rPr>
          <w:lang w:val="es-MX"/>
        </w:rPr>
      </w:pPr>
      <w:r w:rsidRPr="00D05254">
        <w:rPr>
          <w:rFonts w:hint="cs"/>
          <w:rtl/>
          <w:lang w:val="es-MX"/>
        </w:rPr>
        <w:t>24</w:t>
      </w:r>
      <w:r w:rsidR="005A288F" w:rsidRPr="00D05254">
        <w:rPr>
          <w:rFonts w:hint="cs"/>
          <w:rtl/>
          <w:lang w:val="es-MX"/>
        </w:rPr>
        <w:t xml:space="preserve"> </w:t>
      </w:r>
      <w:r w:rsidR="00B021E1" w:rsidRPr="00D05254">
        <w:rPr>
          <w:rFonts w:hint="cs"/>
          <w:rtl/>
          <w:lang w:val="es-MX"/>
        </w:rPr>
        <w:t xml:space="preserve">ספרות נוסעים ותיאורים </w:t>
      </w:r>
      <w:r w:rsidR="00E807D5" w:rsidRPr="00D05254">
        <w:rPr>
          <w:rFonts w:hint="cs"/>
          <w:rtl/>
          <w:lang w:val="es-MX"/>
        </w:rPr>
        <w:t>אתנוגרפיים</w:t>
      </w:r>
      <w:r w:rsidR="00B021E1" w:rsidRPr="00D05254">
        <w:rPr>
          <w:rFonts w:hint="cs"/>
          <w:rtl/>
          <w:lang w:val="es-MX"/>
        </w:rPr>
        <w:t xml:space="preserve"> </w:t>
      </w:r>
    </w:p>
    <w:p w:rsidR="00B021E1" w:rsidRPr="00D05254" w:rsidRDefault="00B021E1" w:rsidP="00B021E1">
      <w:pPr>
        <w:rPr>
          <w:rtl/>
          <w:lang w:val="es-MX"/>
        </w:rPr>
      </w:pPr>
    </w:p>
    <w:p w:rsidR="00B021E1" w:rsidRPr="00D05254" w:rsidRDefault="00B021E1" w:rsidP="00B021E1">
      <w:pPr>
        <w:rPr>
          <w:rtl/>
          <w:lang w:val="es-MX"/>
        </w:rPr>
      </w:pPr>
      <w:r w:rsidRPr="00D05254">
        <w:t xml:space="preserve">James Bruce, </w:t>
      </w:r>
      <w:r w:rsidRPr="00E807D5">
        <w:rPr>
          <w:i/>
          <w:iCs/>
        </w:rPr>
        <w:t>Travels and Discoveries in Abyssinia,</w:t>
      </w:r>
      <w:r w:rsidRPr="00D05254">
        <w:t xml:space="preserve"> London and Edinburg, 1878, pp.125-154</w:t>
      </w:r>
    </w:p>
    <w:p w:rsidR="00B021E1" w:rsidRPr="00D05254" w:rsidRDefault="00B021E1" w:rsidP="00B021E1">
      <w:pPr>
        <w:jc w:val="right"/>
      </w:pPr>
    </w:p>
    <w:p w:rsidR="00B021E1" w:rsidRPr="00D05254" w:rsidRDefault="00B021E1" w:rsidP="00B021E1">
      <w:pPr>
        <w:jc w:val="right"/>
      </w:pPr>
    </w:p>
    <w:p w:rsidR="00B021E1" w:rsidRPr="00D05254" w:rsidRDefault="00B021E1" w:rsidP="00B021E1">
      <w:pPr>
        <w:rPr>
          <w:rtl/>
        </w:rPr>
      </w:pPr>
      <w:r w:rsidRPr="00D05254">
        <w:rPr>
          <w:rFonts w:hint="cs"/>
          <w:rtl/>
        </w:rPr>
        <w:t xml:space="preserve">ב) יוסף הלוי, "מסע בחבש לגילוי הפלשים", </w:t>
      </w:r>
      <w:r w:rsidRPr="00D05254">
        <w:rPr>
          <w:rFonts w:hint="cs"/>
          <w:i/>
          <w:iCs/>
          <w:rtl/>
        </w:rPr>
        <w:t>פעמים 58, עמודים 5-66.</w:t>
      </w:r>
      <w:r w:rsidRPr="00D05254">
        <w:rPr>
          <w:rFonts w:hint="cs"/>
          <w:rtl/>
        </w:rPr>
        <w:t xml:space="preserve"> </w:t>
      </w:r>
    </w:p>
    <w:p w:rsidR="00B021E1" w:rsidRPr="00D05254" w:rsidRDefault="00B021E1" w:rsidP="00B021E1">
      <w:pPr>
        <w:rPr>
          <w:rtl/>
        </w:rPr>
      </w:pPr>
    </w:p>
    <w:p w:rsidR="00B021E1" w:rsidRPr="00D05254" w:rsidRDefault="00B021E1" w:rsidP="00B021E1">
      <w:pPr>
        <w:jc w:val="center"/>
      </w:pPr>
    </w:p>
    <w:p w:rsidR="00B021E1" w:rsidRPr="00D05254" w:rsidRDefault="00F44AC6" w:rsidP="007B4552">
      <w:pPr>
        <w:rPr>
          <w:rtl/>
        </w:rPr>
      </w:pPr>
      <w:r w:rsidRPr="00D05254">
        <w:rPr>
          <w:rFonts w:hint="cs"/>
          <w:rtl/>
        </w:rPr>
        <w:t xml:space="preserve">25 </w:t>
      </w:r>
      <w:r w:rsidR="007B4552" w:rsidRPr="00D05254">
        <w:rPr>
          <w:rFonts w:hint="cs"/>
          <w:rtl/>
        </w:rPr>
        <w:t xml:space="preserve">היסטוריוגרפיה </w:t>
      </w:r>
      <w:r w:rsidRPr="00D05254">
        <w:rPr>
          <w:rFonts w:hint="cs"/>
          <w:rtl/>
        </w:rPr>
        <w:t xml:space="preserve">וספרות </w:t>
      </w:r>
      <w:r w:rsidR="007B4552" w:rsidRPr="00D05254">
        <w:rPr>
          <w:rFonts w:hint="cs"/>
          <w:rtl/>
        </w:rPr>
        <w:t>סומלית.</w:t>
      </w:r>
    </w:p>
    <w:p w:rsidR="00B021E1" w:rsidRPr="00D05254" w:rsidRDefault="007B4552" w:rsidP="00F44AC6">
      <w:pPr>
        <w:bidi w:val="0"/>
      </w:pPr>
      <w:proofErr w:type="gramStart"/>
      <w:r w:rsidRPr="00D05254">
        <w:t>I.M. Lewis, "Continuing Pr</w:t>
      </w:r>
      <w:r w:rsidR="008F287C" w:rsidRPr="00D05254">
        <w:t>oblems in Somali Historiography.</w:t>
      </w:r>
      <w:proofErr w:type="gramEnd"/>
      <w:r w:rsidR="008F287C" w:rsidRPr="00D05254">
        <w:t xml:space="preserve"> Imam </w:t>
      </w:r>
      <w:proofErr w:type="spellStart"/>
      <w:r w:rsidR="008F287C" w:rsidRPr="00D05254">
        <w:t>Axmad</w:t>
      </w:r>
      <w:proofErr w:type="spellEnd"/>
      <w:r w:rsidR="008F287C" w:rsidRPr="00D05254">
        <w:t xml:space="preserve"> </w:t>
      </w:r>
      <w:proofErr w:type="spellStart"/>
      <w:r w:rsidR="008F287C" w:rsidRPr="00D05254">
        <w:t>Guray</w:t>
      </w:r>
      <w:proofErr w:type="spellEnd"/>
      <w:r w:rsidR="008F287C" w:rsidRPr="00D05254">
        <w:t xml:space="preserve"> and </w:t>
      </w:r>
      <w:proofErr w:type="spellStart"/>
      <w:r w:rsidR="008F287C" w:rsidRPr="00D05254">
        <w:t>Sayyid</w:t>
      </w:r>
      <w:proofErr w:type="spellEnd"/>
      <w:r w:rsidR="008F287C" w:rsidRPr="00D05254">
        <w:t xml:space="preserve"> </w:t>
      </w:r>
      <w:proofErr w:type="spellStart"/>
      <w:r w:rsidR="008F287C" w:rsidRPr="00D05254">
        <w:t>Maxamad</w:t>
      </w:r>
      <w:proofErr w:type="spellEnd"/>
      <w:r w:rsidR="008F287C" w:rsidRPr="00D05254">
        <w:t xml:space="preserve"> </w:t>
      </w:r>
      <w:proofErr w:type="spellStart"/>
      <w:r w:rsidR="008F287C" w:rsidRPr="00D05254">
        <w:t>Cabille</w:t>
      </w:r>
      <w:proofErr w:type="spellEnd"/>
      <w:r w:rsidR="008F287C" w:rsidRPr="00D05254">
        <w:t xml:space="preserve"> </w:t>
      </w:r>
      <w:proofErr w:type="spellStart"/>
      <w:r w:rsidR="008F287C" w:rsidRPr="00D05254">
        <w:t>Xassan</w:t>
      </w:r>
      <w:proofErr w:type="spellEnd"/>
      <w:r w:rsidR="008F287C" w:rsidRPr="00D05254">
        <w:t xml:space="preserve">" in in Hussein M. Adam and Charles L. </w:t>
      </w:r>
      <w:proofErr w:type="spellStart"/>
      <w:r w:rsidR="008F287C" w:rsidRPr="00D05254">
        <w:t>Geshekter</w:t>
      </w:r>
      <w:proofErr w:type="spellEnd"/>
      <w:r w:rsidR="008F287C" w:rsidRPr="00D05254">
        <w:t xml:space="preserve"> eds. </w:t>
      </w:r>
      <w:r w:rsidR="008F287C" w:rsidRPr="00D05254">
        <w:rPr>
          <w:i/>
          <w:iCs/>
        </w:rPr>
        <w:t xml:space="preserve">Proceedings of the First International Conference of Somali Studies, </w:t>
      </w:r>
      <w:r w:rsidR="008F287C" w:rsidRPr="00D05254">
        <w:t>Atlanta Georgia, Scholars Press, 1992, pp. 185-189.</w:t>
      </w:r>
    </w:p>
    <w:p w:rsidR="007B4552" w:rsidRPr="00D05254" w:rsidRDefault="007B4552" w:rsidP="007B4552">
      <w:pPr>
        <w:bidi w:val="0"/>
      </w:pPr>
      <w:r w:rsidRPr="00D05254">
        <w:t xml:space="preserve">Alawi Ali Adan "A General Review of Somali Arabic Literature" in Hussein M. Adam and Charles L. </w:t>
      </w:r>
      <w:proofErr w:type="spellStart"/>
      <w:r w:rsidRPr="00D05254">
        <w:t>Geshekter</w:t>
      </w:r>
      <w:proofErr w:type="spellEnd"/>
      <w:r w:rsidRPr="00D05254">
        <w:t xml:space="preserve"> eds. </w:t>
      </w:r>
      <w:r w:rsidRPr="00D05254">
        <w:rPr>
          <w:i/>
          <w:iCs/>
        </w:rPr>
        <w:t xml:space="preserve">Proceedings of the First International Conference of Somali Studies, </w:t>
      </w:r>
      <w:r w:rsidRPr="00D05254">
        <w:t>Atlanta Georgia, Scholars Press, 1992, pp. 299-314.</w:t>
      </w:r>
    </w:p>
    <w:p w:rsidR="006014E9" w:rsidRPr="00D05254" w:rsidRDefault="006014E9" w:rsidP="006014E9">
      <w:pPr>
        <w:bidi w:val="0"/>
      </w:pPr>
    </w:p>
    <w:p w:rsidR="00B021E1" w:rsidRPr="00D05254" w:rsidRDefault="00E807D5" w:rsidP="00F44AC6">
      <w:pPr>
        <w:rPr>
          <w:rtl/>
          <w:lang w:val="es-MX"/>
        </w:rPr>
      </w:pPr>
      <w:r>
        <w:rPr>
          <w:rFonts w:hint="cs"/>
          <w:rtl/>
          <w:lang w:val="es-MX"/>
        </w:rPr>
        <w:t>26.</w:t>
      </w:r>
      <w:r w:rsidR="006014E9" w:rsidRPr="00D05254">
        <w:rPr>
          <w:rFonts w:hint="cs"/>
          <w:rtl/>
          <w:lang w:val="es-MX"/>
        </w:rPr>
        <w:t xml:space="preserve"> סיכום</w:t>
      </w:r>
    </w:p>
    <w:p w:rsidR="00E74560" w:rsidRPr="00D05254" w:rsidRDefault="00E74560" w:rsidP="00570DBC">
      <w:pPr>
        <w:rPr>
          <w:rFonts w:asciiTheme="majorBidi" w:hAnsiTheme="majorBidi" w:cstheme="majorBidi"/>
          <w:sz w:val="24"/>
          <w:szCs w:val="24"/>
          <w:rtl/>
        </w:rPr>
      </w:pPr>
    </w:p>
    <w:sectPr w:rsidR="00E74560" w:rsidRPr="00D05254" w:rsidSect="003C3A6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tempelGaramond Roman">
    <w:altName w:val="Times New Roman"/>
    <w:panose1 w:val="00000000000000000000"/>
    <w:charset w:val="00"/>
    <w:family w:val="roman"/>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B75B4"/>
    <w:multiLevelType w:val="hybridMultilevel"/>
    <w:tmpl w:val="B4C4756C"/>
    <w:lvl w:ilvl="0" w:tplc="716CE0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475A89"/>
    <w:multiLevelType w:val="hybridMultilevel"/>
    <w:tmpl w:val="33D0282A"/>
    <w:lvl w:ilvl="0" w:tplc="259058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510"/>
    <w:rsid w:val="00001870"/>
    <w:rsid w:val="0004708B"/>
    <w:rsid w:val="00056F95"/>
    <w:rsid w:val="000E2573"/>
    <w:rsid w:val="000F55C0"/>
    <w:rsid w:val="00104A52"/>
    <w:rsid w:val="00111401"/>
    <w:rsid w:val="001A5704"/>
    <w:rsid w:val="001B54DD"/>
    <w:rsid w:val="001C2904"/>
    <w:rsid w:val="001C4D69"/>
    <w:rsid w:val="001C5A47"/>
    <w:rsid w:val="001E5A2B"/>
    <w:rsid w:val="00231428"/>
    <w:rsid w:val="00244C2B"/>
    <w:rsid w:val="00304510"/>
    <w:rsid w:val="00314A6B"/>
    <w:rsid w:val="003660CF"/>
    <w:rsid w:val="00394DD7"/>
    <w:rsid w:val="003C3A68"/>
    <w:rsid w:val="004137BE"/>
    <w:rsid w:val="004279C5"/>
    <w:rsid w:val="0045126F"/>
    <w:rsid w:val="00501F85"/>
    <w:rsid w:val="00542D10"/>
    <w:rsid w:val="00550898"/>
    <w:rsid w:val="00555CDC"/>
    <w:rsid w:val="00570DBC"/>
    <w:rsid w:val="005A288F"/>
    <w:rsid w:val="005D31A9"/>
    <w:rsid w:val="006014E9"/>
    <w:rsid w:val="00674FD2"/>
    <w:rsid w:val="006B4951"/>
    <w:rsid w:val="006C6196"/>
    <w:rsid w:val="00730474"/>
    <w:rsid w:val="00754181"/>
    <w:rsid w:val="007616D3"/>
    <w:rsid w:val="007B4552"/>
    <w:rsid w:val="008307D1"/>
    <w:rsid w:val="008F287C"/>
    <w:rsid w:val="00927C01"/>
    <w:rsid w:val="009F567A"/>
    <w:rsid w:val="00AE7BF2"/>
    <w:rsid w:val="00B010FB"/>
    <w:rsid w:val="00B021E1"/>
    <w:rsid w:val="00B3523E"/>
    <w:rsid w:val="00B428EF"/>
    <w:rsid w:val="00B43628"/>
    <w:rsid w:val="00B44813"/>
    <w:rsid w:val="00BE24A7"/>
    <w:rsid w:val="00BF43E6"/>
    <w:rsid w:val="00CA6A30"/>
    <w:rsid w:val="00CC0E99"/>
    <w:rsid w:val="00D030F1"/>
    <w:rsid w:val="00D05254"/>
    <w:rsid w:val="00D575E0"/>
    <w:rsid w:val="00D77BCA"/>
    <w:rsid w:val="00DB4282"/>
    <w:rsid w:val="00DB7E2A"/>
    <w:rsid w:val="00DD2858"/>
    <w:rsid w:val="00E13FCA"/>
    <w:rsid w:val="00E21A49"/>
    <w:rsid w:val="00E55B55"/>
    <w:rsid w:val="00E66B98"/>
    <w:rsid w:val="00E74560"/>
    <w:rsid w:val="00E807D5"/>
    <w:rsid w:val="00E80A17"/>
    <w:rsid w:val="00E81FF3"/>
    <w:rsid w:val="00EB7BF2"/>
    <w:rsid w:val="00F14C31"/>
    <w:rsid w:val="00F44AC6"/>
    <w:rsid w:val="00F54F9C"/>
    <w:rsid w:val="00F7168E"/>
    <w:rsid w:val="00FA17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1C2904"/>
    <w:rPr>
      <w:rFonts w:ascii="Courier New" w:eastAsia="Times New Roman" w:hAnsi="Courier New" w:cs="Courier New"/>
      <w:sz w:val="20"/>
      <w:szCs w:val="20"/>
    </w:rPr>
  </w:style>
  <w:style w:type="paragraph" w:styleId="a3">
    <w:name w:val="caption"/>
    <w:basedOn w:val="a"/>
    <w:next w:val="a"/>
    <w:semiHidden/>
    <w:unhideWhenUsed/>
    <w:qFormat/>
    <w:rsid w:val="00BE24A7"/>
    <w:pPr>
      <w:spacing w:after="0" w:line="240" w:lineRule="auto"/>
      <w:jc w:val="center"/>
    </w:pPr>
    <w:rPr>
      <w:rFonts w:ascii="Times New Roman" w:eastAsia="Times New Roman" w:hAnsi="Times New Roman" w:cs="David"/>
      <w:b/>
      <w:bCs/>
      <w:sz w:val="28"/>
      <w:szCs w:val="28"/>
      <w:lang w:eastAsia="he-IL"/>
    </w:rPr>
  </w:style>
  <w:style w:type="paragraph" w:styleId="a4">
    <w:name w:val="Subtitle"/>
    <w:basedOn w:val="a"/>
    <w:link w:val="a5"/>
    <w:qFormat/>
    <w:rsid w:val="00BE24A7"/>
    <w:pPr>
      <w:spacing w:after="0" w:line="240" w:lineRule="auto"/>
    </w:pPr>
    <w:rPr>
      <w:rFonts w:ascii="Times New Roman" w:eastAsia="Times New Roman" w:hAnsi="Times New Roman" w:cs="Times New Roman"/>
      <w:b/>
      <w:bCs/>
      <w:sz w:val="24"/>
      <w:szCs w:val="24"/>
      <w:lang w:eastAsia="he-IL"/>
    </w:rPr>
  </w:style>
  <w:style w:type="character" w:customStyle="1" w:styleId="a5">
    <w:name w:val="כותרת משנה תו"/>
    <w:basedOn w:val="a0"/>
    <w:link w:val="a4"/>
    <w:rsid w:val="00BE24A7"/>
    <w:rPr>
      <w:rFonts w:ascii="Times New Roman" w:eastAsia="Times New Roman" w:hAnsi="Times New Roman" w:cs="Times New Roman"/>
      <w:b/>
      <w:bCs/>
      <w:sz w:val="24"/>
      <w:szCs w:val="24"/>
      <w:lang w:eastAsia="he-IL"/>
    </w:rPr>
  </w:style>
  <w:style w:type="paragraph" w:styleId="a6">
    <w:name w:val="Balloon Text"/>
    <w:basedOn w:val="a"/>
    <w:link w:val="a7"/>
    <w:uiPriority w:val="99"/>
    <w:semiHidden/>
    <w:unhideWhenUsed/>
    <w:rsid w:val="00BE24A7"/>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BE24A7"/>
    <w:rPr>
      <w:rFonts w:ascii="Tahoma" w:hAnsi="Tahoma" w:cs="Tahoma"/>
      <w:sz w:val="16"/>
      <w:szCs w:val="16"/>
    </w:rPr>
  </w:style>
  <w:style w:type="paragraph" w:styleId="NormalWeb">
    <w:name w:val="Normal (Web)"/>
    <w:basedOn w:val="a"/>
    <w:uiPriority w:val="99"/>
    <w:semiHidden/>
    <w:unhideWhenUsed/>
    <w:rsid w:val="00B4362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7B4552"/>
    <w:pPr>
      <w:ind w:left="720"/>
      <w:contextualSpacing/>
    </w:pPr>
  </w:style>
  <w:style w:type="paragraph" w:customStyle="1" w:styleId="CohenBibliography">
    <w:name w:val="Cohen Bibliography"/>
    <w:basedOn w:val="a"/>
    <w:rsid w:val="00E807D5"/>
    <w:pPr>
      <w:bidi w:val="0"/>
      <w:spacing w:after="40" w:line="252" w:lineRule="exact"/>
      <w:ind w:left="244" w:hanging="244"/>
      <w:jc w:val="both"/>
    </w:pPr>
    <w:rPr>
      <w:rFonts w:ascii="StempelGaramond Roman" w:eastAsia="Times New Roman" w:hAnsi="StempelGaramond Roman" w:cs="Times New Roman"/>
      <w:sz w:val="21"/>
      <w:szCs w:val="21"/>
      <w:lang w:val="en-GB" w:eastAsia="ko-K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1C2904"/>
    <w:rPr>
      <w:rFonts w:ascii="Courier New" w:eastAsia="Times New Roman" w:hAnsi="Courier New" w:cs="Courier New"/>
      <w:sz w:val="20"/>
      <w:szCs w:val="20"/>
    </w:rPr>
  </w:style>
  <w:style w:type="paragraph" w:styleId="a3">
    <w:name w:val="caption"/>
    <w:basedOn w:val="a"/>
    <w:next w:val="a"/>
    <w:semiHidden/>
    <w:unhideWhenUsed/>
    <w:qFormat/>
    <w:rsid w:val="00BE24A7"/>
    <w:pPr>
      <w:spacing w:after="0" w:line="240" w:lineRule="auto"/>
      <w:jc w:val="center"/>
    </w:pPr>
    <w:rPr>
      <w:rFonts w:ascii="Times New Roman" w:eastAsia="Times New Roman" w:hAnsi="Times New Roman" w:cs="David"/>
      <w:b/>
      <w:bCs/>
      <w:sz w:val="28"/>
      <w:szCs w:val="28"/>
      <w:lang w:eastAsia="he-IL"/>
    </w:rPr>
  </w:style>
  <w:style w:type="paragraph" w:styleId="a4">
    <w:name w:val="Subtitle"/>
    <w:basedOn w:val="a"/>
    <w:link w:val="a5"/>
    <w:qFormat/>
    <w:rsid w:val="00BE24A7"/>
    <w:pPr>
      <w:spacing w:after="0" w:line="240" w:lineRule="auto"/>
    </w:pPr>
    <w:rPr>
      <w:rFonts w:ascii="Times New Roman" w:eastAsia="Times New Roman" w:hAnsi="Times New Roman" w:cs="Times New Roman"/>
      <w:b/>
      <w:bCs/>
      <w:sz w:val="24"/>
      <w:szCs w:val="24"/>
      <w:lang w:eastAsia="he-IL"/>
    </w:rPr>
  </w:style>
  <w:style w:type="character" w:customStyle="1" w:styleId="a5">
    <w:name w:val="כותרת משנה תו"/>
    <w:basedOn w:val="a0"/>
    <w:link w:val="a4"/>
    <w:rsid w:val="00BE24A7"/>
    <w:rPr>
      <w:rFonts w:ascii="Times New Roman" w:eastAsia="Times New Roman" w:hAnsi="Times New Roman" w:cs="Times New Roman"/>
      <w:b/>
      <w:bCs/>
      <w:sz w:val="24"/>
      <w:szCs w:val="24"/>
      <w:lang w:eastAsia="he-IL"/>
    </w:rPr>
  </w:style>
  <w:style w:type="paragraph" w:styleId="a6">
    <w:name w:val="Balloon Text"/>
    <w:basedOn w:val="a"/>
    <w:link w:val="a7"/>
    <w:uiPriority w:val="99"/>
    <w:semiHidden/>
    <w:unhideWhenUsed/>
    <w:rsid w:val="00BE24A7"/>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BE24A7"/>
    <w:rPr>
      <w:rFonts w:ascii="Tahoma" w:hAnsi="Tahoma" w:cs="Tahoma"/>
      <w:sz w:val="16"/>
      <w:szCs w:val="16"/>
    </w:rPr>
  </w:style>
  <w:style w:type="paragraph" w:styleId="NormalWeb">
    <w:name w:val="Normal (Web)"/>
    <w:basedOn w:val="a"/>
    <w:uiPriority w:val="99"/>
    <w:semiHidden/>
    <w:unhideWhenUsed/>
    <w:rsid w:val="00B4362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7B4552"/>
    <w:pPr>
      <w:ind w:left="720"/>
      <w:contextualSpacing/>
    </w:pPr>
  </w:style>
  <w:style w:type="paragraph" w:customStyle="1" w:styleId="CohenBibliography">
    <w:name w:val="Cohen Bibliography"/>
    <w:basedOn w:val="a"/>
    <w:rsid w:val="00E807D5"/>
    <w:pPr>
      <w:bidi w:val="0"/>
      <w:spacing w:after="40" w:line="252" w:lineRule="exact"/>
      <w:ind w:left="244" w:hanging="244"/>
      <w:jc w:val="both"/>
    </w:pPr>
    <w:rPr>
      <w:rFonts w:ascii="StempelGaramond Roman" w:eastAsia="Times New Roman" w:hAnsi="StempelGaramond Roman" w:cs="Times New Roman"/>
      <w:sz w:val="21"/>
      <w:szCs w:val="21"/>
      <w:lang w:val="en-GB"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893213">
      <w:bodyDiv w:val="1"/>
      <w:marLeft w:val="0"/>
      <w:marRight w:val="0"/>
      <w:marTop w:val="0"/>
      <w:marBottom w:val="0"/>
      <w:divBdr>
        <w:top w:val="none" w:sz="0" w:space="0" w:color="auto"/>
        <w:left w:val="none" w:sz="0" w:space="0" w:color="auto"/>
        <w:bottom w:val="none" w:sz="0" w:space="0" w:color="auto"/>
        <w:right w:val="none" w:sz="0" w:space="0" w:color="auto"/>
      </w:divBdr>
    </w:div>
    <w:div w:id="1566524930">
      <w:bodyDiv w:val="1"/>
      <w:marLeft w:val="0"/>
      <w:marRight w:val="0"/>
      <w:marTop w:val="0"/>
      <w:marBottom w:val="0"/>
      <w:divBdr>
        <w:top w:val="none" w:sz="0" w:space="0" w:color="auto"/>
        <w:left w:val="none" w:sz="0" w:space="0" w:color="auto"/>
        <w:bottom w:val="none" w:sz="0" w:space="0" w:color="auto"/>
        <w:right w:val="none" w:sz="0" w:space="0" w:color="auto"/>
      </w:divBdr>
    </w:div>
    <w:div w:id="182119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bgu.ac.il/gifs/new_logo.gif" TargetMode="Externa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91498-D271-4B56-B41F-7D34026E3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6</Pages>
  <Words>1139</Words>
  <Characters>5699</Characters>
  <Application>Microsoft Office Word</Application>
  <DocSecurity>0</DocSecurity>
  <Lines>47</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dc:creator>
  <cp:lastModifiedBy>leo</cp:lastModifiedBy>
  <cp:revision>9</cp:revision>
  <dcterms:created xsi:type="dcterms:W3CDTF">2017-07-03T14:34:00Z</dcterms:created>
  <dcterms:modified xsi:type="dcterms:W3CDTF">2017-07-06T08:51:00Z</dcterms:modified>
</cp:coreProperties>
</file>