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E4" w:rsidRPr="00571633" w:rsidRDefault="00A579E4" w:rsidP="00571633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579E4" w:rsidRPr="00571633" w:rsidRDefault="00A579E4" w:rsidP="00571633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2468E" w:rsidRPr="00571633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s-ES" w:bidi="he-IL"/>
        </w:rPr>
      </w:pPr>
      <w:r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היסטוריה מודרנית של אריתתריאה</w:t>
      </w:r>
      <w:r w:rsidR="00673423"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 xml:space="preserve"> (1889-1991)  </w:t>
      </w:r>
    </w:p>
    <w:p w:rsidR="00CD0147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סמסטר ב</w:t>
      </w:r>
    </w:p>
    <w:p w:rsidR="00306E6F" w:rsidRPr="00571633" w:rsidRDefault="00306E6F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he-IL"/>
        </w:rPr>
        <w:t>2018-2019</w:t>
      </w:r>
      <w:bookmarkStart w:id="0" w:name="_GoBack"/>
      <w:bookmarkEnd w:id="0"/>
    </w:p>
    <w:p w:rsidR="00CD0147" w:rsidRPr="00571633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2 נקודות זכות</w:t>
      </w:r>
    </w:p>
    <w:p w:rsidR="00CD0147" w:rsidRPr="00571633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</w:p>
    <w:p w:rsidR="00CD0147" w:rsidRPr="00571633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ד"ר. לאונרדו כהן</w:t>
      </w:r>
    </w:p>
    <w:p w:rsidR="00CD0147" w:rsidRPr="00571633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</w:p>
    <w:p w:rsidR="00CD0147" w:rsidRPr="00571633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סילבוס</w:t>
      </w:r>
    </w:p>
    <w:p w:rsidR="00CD0147" w:rsidRPr="00571633" w:rsidRDefault="00CD0147" w:rsidP="00571633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en-US" w:bidi="he-IL"/>
        </w:rPr>
      </w:pPr>
    </w:p>
    <w:p w:rsidR="00CD0147" w:rsidRPr="00571633" w:rsidRDefault="00CD0147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he-IL"/>
        </w:rPr>
        <w:t>תקציר בעברית</w:t>
      </w:r>
      <w:r w:rsidRPr="00571633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:</w:t>
      </w:r>
    </w:p>
    <w:p w:rsidR="00CD0147" w:rsidRPr="00571633" w:rsidRDefault="00CD0147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CD0147" w:rsidRPr="00571633" w:rsidRDefault="00CD0147" w:rsidP="00571633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571633">
        <w:rPr>
          <w:rFonts w:asciiTheme="majorBidi" w:hAnsiTheme="majorBidi" w:cstheme="majorBidi"/>
          <w:sz w:val="24"/>
          <w:szCs w:val="24"/>
          <w:rtl/>
          <w:lang w:bidi="he-IL"/>
        </w:rPr>
        <w:t>הקורס היסטוריה מודרנית של אריתריאה עוסק בהתפתחות הזהות הלאומית האריתראית מאז הקולוניאליזם האיטלקי ועד הכרזת עצמאות של המדינה ב</w:t>
      </w:r>
      <w:r w:rsidRPr="00571633">
        <w:rPr>
          <w:rFonts w:asciiTheme="majorBidi" w:hAnsiTheme="majorBidi" w:cstheme="majorBidi"/>
          <w:sz w:val="24"/>
          <w:szCs w:val="24"/>
          <w:rtl/>
        </w:rPr>
        <w:t xml:space="preserve">1991. </w:t>
      </w:r>
      <w:r w:rsidRPr="00571633">
        <w:rPr>
          <w:rFonts w:asciiTheme="majorBidi" w:hAnsiTheme="majorBidi" w:cstheme="majorBidi"/>
          <w:sz w:val="24"/>
          <w:szCs w:val="24"/>
          <w:rtl/>
          <w:lang w:bidi="he-IL"/>
        </w:rPr>
        <w:t>הקורס מציע הסתכלות כרונולוגית על האירועים שהובילו לאוטונומיה  האריתראית ולהשגת העצמאות</w:t>
      </w:r>
      <w:r w:rsidRPr="00571633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571633">
        <w:rPr>
          <w:rFonts w:asciiTheme="majorBidi" w:hAnsiTheme="majorBidi" w:cstheme="majorBidi"/>
          <w:sz w:val="24"/>
          <w:szCs w:val="24"/>
          <w:rtl/>
          <w:lang w:bidi="he-IL"/>
        </w:rPr>
        <w:t>תוך כדי התבוננות על המגוון והמתחים האתניים והדתיים בתוך אריתריאה עצמה ויחסה כלפי אתיופיה</w:t>
      </w:r>
      <w:r w:rsidRPr="00571633">
        <w:rPr>
          <w:rFonts w:asciiTheme="majorBidi" w:hAnsiTheme="majorBidi" w:cstheme="majorBidi"/>
          <w:sz w:val="24"/>
          <w:szCs w:val="24"/>
          <w:rtl/>
        </w:rPr>
        <w:t>.</w:t>
      </w:r>
    </w:p>
    <w:p w:rsidR="00CD0147" w:rsidRPr="00571633" w:rsidRDefault="00CD0147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CD0147" w:rsidRPr="00571633" w:rsidRDefault="00CD0147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CD0147" w:rsidRPr="00571633" w:rsidRDefault="00CD0147" w:rsidP="00571633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571633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מילות מפתח </w:t>
      </w:r>
      <w:r w:rsidRPr="00571633">
        <w:rPr>
          <w:rFonts w:asciiTheme="majorBidi" w:hAnsiTheme="majorBidi" w:cstheme="majorBidi"/>
          <w:sz w:val="24"/>
          <w:szCs w:val="24"/>
          <w:rtl/>
        </w:rPr>
        <w:t>:-</w:t>
      </w:r>
      <w:r w:rsidRPr="00571633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אריתריאה</w:t>
      </w:r>
      <w:r w:rsidRPr="00571633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571633">
        <w:rPr>
          <w:rFonts w:asciiTheme="majorBidi" w:hAnsiTheme="majorBidi" w:cstheme="majorBidi"/>
          <w:sz w:val="24"/>
          <w:szCs w:val="24"/>
          <w:rtl/>
          <w:lang w:bidi="he-IL"/>
        </w:rPr>
        <w:t>קרן אפריקה</w:t>
      </w:r>
      <w:r w:rsidRPr="00571633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571633">
        <w:rPr>
          <w:rFonts w:asciiTheme="majorBidi" w:hAnsiTheme="majorBidi" w:cstheme="majorBidi"/>
          <w:sz w:val="24"/>
          <w:szCs w:val="24"/>
          <w:rtl/>
          <w:lang w:bidi="he-IL"/>
        </w:rPr>
        <w:t>היסטוריה מודרנית</w:t>
      </w:r>
    </w:p>
    <w:p w:rsidR="00CD0147" w:rsidRPr="00571633" w:rsidRDefault="00CD0147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CD0147" w:rsidRPr="00571633" w:rsidRDefault="00CD0147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CD0147" w:rsidRPr="00571633" w:rsidRDefault="00CD0147" w:rsidP="00571633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The course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>Modern History of Eritrea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 deals with the development of Eritrean national identity from the Italian colonial period until the declaration of independence in 1991. The 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lastRenderedPageBreak/>
        <w:t>course offers a chronological view of the events that concluded with Eritrean autonomy and independence, while looking at the diversity and ethnic and religious tensions within Eritrea itself, and its attitude towards Ethiopia</w:t>
      </w:r>
      <w:r w:rsidRPr="00571633">
        <w:rPr>
          <w:rFonts w:asciiTheme="majorBidi" w:hAnsiTheme="majorBidi" w:cstheme="majorBidi"/>
          <w:sz w:val="24"/>
          <w:szCs w:val="24"/>
          <w:rtl/>
        </w:rPr>
        <w:t>.</w:t>
      </w:r>
    </w:p>
    <w:p w:rsidR="00CD0147" w:rsidRDefault="00571633" w:rsidP="0057163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s-ES"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val="es-ES" w:bidi="he-IL"/>
        </w:rPr>
        <w:t>הרכב הציון:</w:t>
      </w:r>
    </w:p>
    <w:p w:rsidR="00571633" w:rsidRDefault="00571633" w:rsidP="0057163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s-ES"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val="es-ES" w:bidi="he-IL"/>
        </w:rPr>
        <w:t>השתתפות 20%</w:t>
      </w:r>
    </w:p>
    <w:p w:rsidR="00571633" w:rsidRPr="00571633" w:rsidRDefault="00571633" w:rsidP="00571633">
      <w:pPr>
        <w:bidi/>
        <w:spacing w:line="360" w:lineRule="auto"/>
        <w:jc w:val="both"/>
        <w:rPr>
          <w:rFonts w:asciiTheme="majorBidi" w:hAnsiTheme="majorBidi" w:cstheme="majorBidi" w:hint="cs"/>
          <w:sz w:val="24"/>
          <w:szCs w:val="24"/>
          <w:rtl/>
          <w:lang w:val="es-ES"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val="es-ES" w:bidi="he-IL"/>
        </w:rPr>
        <w:t>עבודת בית 80%</w:t>
      </w:r>
    </w:p>
    <w:p w:rsidR="00540C2E" w:rsidRPr="00571633" w:rsidRDefault="00540C2E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 w:bidi="he-IL"/>
        </w:rPr>
      </w:pPr>
    </w:p>
    <w:p w:rsidR="00FA6CD2" w:rsidRPr="00571633" w:rsidRDefault="00FA6CD2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1 מבוא כללי לתרבות והסטוריה של אריתראה: המורשת משותפת עם אתיופיה</w:t>
      </w:r>
    </w:p>
    <w:p w:rsidR="00FA6CD2" w:rsidRPr="00571633" w:rsidRDefault="00FA6CD2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</w:pPr>
    </w:p>
    <w:p w:rsidR="00FA6CD2" w:rsidRPr="00571633" w:rsidRDefault="00571633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2 היסטוריה פר</w:t>
      </w:r>
      <w:r w:rsidR="0098549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he-IL"/>
        </w:rPr>
        <w:t>ה</w:t>
      </w:r>
      <w:r w:rsidR="00FA6CD2"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-קולוניאלית וקולוניאלית של אתיופיה.</w:t>
      </w:r>
    </w:p>
    <w:p w:rsidR="00A579E4" w:rsidRPr="00571633" w:rsidRDefault="00A579E4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lang w:val="en-US"/>
        </w:rPr>
        <w:t>Richard Greenfield, "Pre-Colonial and Colonial History" in</w:t>
      </w:r>
      <w:r w:rsidR="00F307BB" w:rsidRPr="00571633">
        <w:rPr>
          <w:rFonts w:asciiTheme="majorBidi" w:hAnsiTheme="majorBidi" w:cstheme="majorBidi"/>
          <w:sz w:val="24"/>
          <w:szCs w:val="24"/>
          <w:lang w:val="en-US"/>
        </w:rPr>
        <w:t xml:space="preserve"> Basil Davidson et. Al.,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>Behind the War</w:t>
      </w:r>
      <w:r w:rsidR="00F307BB"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in Eritrea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="00F307BB" w:rsidRPr="00571633">
        <w:rPr>
          <w:rFonts w:asciiTheme="majorBidi" w:hAnsiTheme="majorBidi" w:cstheme="majorBidi"/>
          <w:sz w:val="24"/>
          <w:szCs w:val="24"/>
          <w:lang w:val="en-US"/>
        </w:rPr>
        <w:t xml:space="preserve"> Nottingham: Bertrand Russell House, 1980, pp.16-31</w:t>
      </w:r>
      <w:r w:rsidR="00DD3C5E"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.</w:t>
      </w:r>
    </w:p>
    <w:p w:rsidR="00DD3C5E" w:rsidRPr="00571633" w:rsidRDefault="00DD3C5E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</w:p>
    <w:p w:rsidR="00FA6CD2" w:rsidRPr="00571633" w:rsidRDefault="002C0CFD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3. נוצרים, מוסלמים וראשית הקולוניאליזם האיטלקי באריתראה</w:t>
      </w:r>
    </w:p>
    <w:p w:rsidR="00FF3A31" w:rsidRPr="00571633" w:rsidRDefault="002C0CFD" w:rsidP="00571633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 xml:space="preserve">חגי ארליך, </w:t>
      </w:r>
      <w:r w:rsidRPr="00571633">
        <w:rPr>
          <w:rFonts w:asciiTheme="majorBidi" w:hAnsiTheme="majorBidi" w:cstheme="majorBidi"/>
          <w:i/>
          <w:iCs/>
          <w:sz w:val="24"/>
          <w:szCs w:val="24"/>
          <w:rtl/>
          <w:lang w:val="en-US" w:bidi="he-IL"/>
        </w:rPr>
        <w:t xml:space="preserve">ניצחונה של אתיופיה: ראס אלולה הגיבור הלאומי, </w:t>
      </w:r>
      <w:r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אוניברסיטת תל אביב: תל אביב, 2016, עמ.7-95.</w:t>
      </w:r>
    </w:p>
    <w:p w:rsidR="002C0CFD" w:rsidRPr="00571633" w:rsidRDefault="002C0CFD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</w:pPr>
    </w:p>
    <w:p w:rsidR="00FA6CD2" w:rsidRPr="00571633" w:rsidRDefault="00FA6CD2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4 היחסים בין דת למדינה בראשית התקופה הקולוניאלית</w:t>
      </w:r>
    </w:p>
    <w:p w:rsidR="00540C2E" w:rsidRPr="00571633" w:rsidRDefault="00540C2E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 w:rsidRPr="00571633">
        <w:rPr>
          <w:rFonts w:asciiTheme="majorBidi" w:hAnsiTheme="majorBidi" w:cstheme="majorBidi"/>
          <w:sz w:val="24"/>
          <w:szCs w:val="24"/>
          <w:lang w:val="en-US"/>
        </w:rPr>
        <w:t>Uoldelul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  <w:lang w:val="en-US"/>
        </w:rPr>
        <w:t>Dirar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, “Church-State Relations in Colonial Eritrea: missionaries and the Development of Colonial strategies (1869-1911”,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>Journal of Modern Italian Studies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>, 8, 3 (2003) 391-410.</w:t>
      </w:r>
    </w:p>
    <w:p w:rsidR="00FA6CD2" w:rsidRPr="00571633" w:rsidRDefault="00FA6CD2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:rsidR="00FA6CD2" w:rsidRPr="00571633" w:rsidRDefault="00FA6CD2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 xml:space="preserve">5 האסלאם באריתריאה </w:t>
      </w:r>
    </w:p>
    <w:p w:rsidR="00A579E4" w:rsidRPr="00571633" w:rsidRDefault="00A03AD2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Jonathan </w:t>
      </w:r>
      <w:proofErr w:type="spellStart"/>
      <w:r w:rsidRPr="00571633">
        <w:rPr>
          <w:rFonts w:asciiTheme="majorBidi" w:hAnsiTheme="majorBidi" w:cstheme="majorBidi"/>
          <w:sz w:val="24"/>
          <w:szCs w:val="24"/>
          <w:lang w:val="en-US"/>
        </w:rPr>
        <w:t>Miran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, “A Historical Overview of the Islam in Eritrea,”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Die Welt des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>Islams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>45,</w:t>
      </w:r>
      <w:r w:rsidR="00316FC8" w:rsidRPr="00571633">
        <w:rPr>
          <w:rFonts w:asciiTheme="majorBidi" w:hAnsiTheme="majorBidi" w:cstheme="majorBidi"/>
          <w:sz w:val="24"/>
          <w:szCs w:val="24"/>
          <w:lang w:val="en-US"/>
        </w:rPr>
        <w:t xml:space="preserve"> 2 (2005)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16FC8" w:rsidRPr="00571633">
        <w:rPr>
          <w:rFonts w:asciiTheme="majorBidi" w:hAnsiTheme="majorBidi" w:cstheme="majorBidi"/>
          <w:sz w:val="24"/>
          <w:szCs w:val="24"/>
          <w:lang w:val="en-US"/>
        </w:rPr>
        <w:t>177-215</w:t>
      </w:r>
      <w:r w:rsidR="002C0CFD" w:rsidRPr="00571633">
        <w:rPr>
          <w:rFonts w:asciiTheme="majorBidi" w:hAnsiTheme="majorBidi" w:cstheme="majorBidi"/>
          <w:sz w:val="24"/>
          <w:szCs w:val="24"/>
          <w:rtl/>
          <w:lang w:val="en-US" w:bidi="he-IL"/>
        </w:rPr>
        <w:t>.</w:t>
      </w:r>
    </w:p>
    <w:p w:rsidR="002C0CFD" w:rsidRPr="00571633" w:rsidRDefault="002C0CFD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</w:p>
    <w:p w:rsidR="00A03AD2" w:rsidRPr="00571633" w:rsidRDefault="00FA6CD2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6.תקופת שילטון הבריטי והסיפוח לאתיופיה</w:t>
      </w:r>
    </w:p>
    <w:p w:rsidR="00A579E4" w:rsidRPr="00571633" w:rsidRDefault="00A579E4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 w:rsidRPr="00571633">
        <w:rPr>
          <w:rFonts w:asciiTheme="majorBidi" w:hAnsiTheme="majorBidi" w:cstheme="majorBidi"/>
          <w:sz w:val="24"/>
          <w:szCs w:val="24"/>
          <w:lang w:val="en-US"/>
        </w:rPr>
        <w:t>Bereket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 Habte Selassie, "From British Rule to Federation and Annexation," in </w:t>
      </w:r>
      <w:r w:rsidR="00F307BB" w:rsidRPr="00571633">
        <w:rPr>
          <w:rFonts w:asciiTheme="majorBidi" w:hAnsiTheme="majorBidi" w:cstheme="majorBidi"/>
          <w:sz w:val="24"/>
          <w:szCs w:val="24"/>
          <w:lang w:val="en-US"/>
        </w:rPr>
        <w:t xml:space="preserve">in Basil Davidson et. Al., </w:t>
      </w:r>
      <w:r w:rsidR="00F307BB"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>Behind the War in Eritrea,</w:t>
      </w:r>
      <w:r w:rsidR="00F307BB" w:rsidRPr="00571633">
        <w:rPr>
          <w:rFonts w:asciiTheme="majorBidi" w:hAnsiTheme="majorBidi" w:cstheme="majorBidi"/>
          <w:sz w:val="24"/>
          <w:szCs w:val="24"/>
          <w:lang w:val="en-US"/>
        </w:rPr>
        <w:t xml:space="preserve"> Nottingham: Bertrand Russell House, 1980, pp. 32-47.</w:t>
      </w:r>
    </w:p>
    <w:p w:rsidR="00FA6CD2" w:rsidRPr="00571633" w:rsidRDefault="00FA6CD2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:rsidR="00FA6CD2" w:rsidRPr="00571633" w:rsidRDefault="00FA6CD2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 xml:space="preserve">7. </w:t>
      </w:r>
      <w:r w:rsidR="00D533AB"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המגוון האתני בקרן אפריקה</w:t>
      </w:r>
    </w:p>
    <w:p w:rsidR="00D533AB" w:rsidRPr="00571633" w:rsidRDefault="00DA56F6" w:rsidP="00571633">
      <w:pPr>
        <w:spacing w:line="360" w:lineRule="auto"/>
        <w:rPr>
          <w:rFonts w:asciiTheme="majorBidi" w:hAnsiTheme="majorBidi" w:cstheme="majorBidi"/>
          <w:sz w:val="24"/>
          <w:szCs w:val="24"/>
          <w:lang w:val="en-US" w:bidi="he-IL"/>
        </w:rPr>
      </w:pPr>
      <w:r w:rsidRPr="00571633">
        <w:rPr>
          <w:rFonts w:asciiTheme="majorBidi" w:hAnsiTheme="majorBidi" w:cstheme="majorBidi"/>
          <w:sz w:val="24"/>
          <w:szCs w:val="24"/>
          <w:lang w:val="en-US" w:bidi="he-IL"/>
        </w:rPr>
        <w:t xml:space="preserve">I. M. Lewis,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Peoples of the Horn of Africa, </w:t>
      </w:r>
      <w:r w:rsidRPr="00571633">
        <w:rPr>
          <w:rFonts w:asciiTheme="majorBidi" w:hAnsiTheme="majorBidi" w:cstheme="majorBidi"/>
          <w:sz w:val="24"/>
          <w:szCs w:val="24"/>
          <w:lang w:val="en-US" w:bidi="he-IL"/>
        </w:rPr>
        <w:t>London: International African Institute, 1955, 155-176.</w:t>
      </w:r>
    </w:p>
    <w:p w:rsidR="00DA56F6" w:rsidRPr="00571633" w:rsidRDefault="00DA56F6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</w:p>
    <w:p w:rsidR="00FA6CD2" w:rsidRPr="00571633" w:rsidRDefault="00D533AB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8</w:t>
      </w:r>
      <w:r w:rsidR="00FA6CD2"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. השאלה הלאומית בקרן אפריקה</w:t>
      </w:r>
    </w:p>
    <w:p w:rsidR="00540C2E" w:rsidRPr="00571633" w:rsidRDefault="00540C2E" w:rsidP="00571633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Patrick </w:t>
      </w:r>
      <w:proofErr w:type="spellStart"/>
      <w:r w:rsidRPr="00571633">
        <w:rPr>
          <w:rFonts w:asciiTheme="majorBidi" w:hAnsiTheme="majorBidi" w:cstheme="majorBidi"/>
          <w:sz w:val="24"/>
          <w:szCs w:val="24"/>
          <w:lang w:val="en-US"/>
        </w:rPr>
        <w:t>Gilkes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, National Identity and Historical Mythology in Eritrea and Somaliland,”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Northeast African Studies, 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>10, 3 (2003) 163-187.</w:t>
      </w:r>
    </w:p>
    <w:p w:rsidR="00DA56F6" w:rsidRPr="00571633" w:rsidRDefault="00DA56F6" w:rsidP="0057163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40C2E" w:rsidRPr="00571633" w:rsidRDefault="00D533AB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n-US" w:bidi="he-IL"/>
        </w:rPr>
        <w:t>9. התעוררות המאבק הלאומי האריתראי</w:t>
      </w:r>
    </w:p>
    <w:p w:rsidR="00A579E4" w:rsidRPr="00571633" w:rsidRDefault="00292532" w:rsidP="0098549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Johnson, M and Johnson, T. "Eritrea: The National Question and the Logic of a Protracted Struggle."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African Affairs 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80.319(1981), pp. 181-195. </w:t>
      </w:r>
    </w:p>
    <w:p w:rsidR="00A579E4" w:rsidRPr="00571633" w:rsidRDefault="00A579E4" w:rsidP="00571633">
      <w:pPr>
        <w:pStyle w:val="FootnoteText"/>
        <w:bidi w:val="0"/>
        <w:spacing w:line="360" w:lineRule="auto"/>
        <w:ind w:firstLine="0"/>
        <w:contextualSpacing/>
        <w:rPr>
          <w:rFonts w:asciiTheme="majorBidi" w:hAnsiTheme="majorBidi" w:cstheme="majorBidi"/>
          <w:sz w:val="24"/>
          <w:szCs w:val="24"/>
        </w:rPr>
      </w:pPr>
      <w:r w:rsidRPr="00571633">
        <w:rPr>
          <w:rFonts w:asciiTheme="majorBidi" w:hAnsiTheme="majorBidi" w:cstheme="majorBidi"/>
          <w:sz w:val="24"/>
          <w:szCs w:val="24"/>
        </w:rPr>
        <w:t>John Young, “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Tigray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People’s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Liberation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Front,” in Christopher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Clapham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, ed.,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African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Guerrillas </w:t>
      </w:r>
      <w:r w:rsidRPr="00571633">
        <w:rPr>
          <w:rFonts w:asciiTheme="majorBidi" w:hAnsiTheme="majorBidi" w:cstheme="majorBidi"/>
          <w:sz w:val="24"/>
          <w:szCs w:val="24"/>
        </w:rPr>
        <w:t xml:space="preserve">(Oxford, 1998), 37.  </w:t>
      </w:r>
    </w:p>
    <w:p w:rsidR="00D533AB" w:rsidRPr="00571633" w:rsidRDefault="00D533AB" w:rsidP="00571633">
      <w:pPr>
        <w:pStyle w:val="FootnoteText"/>
        <w:bidi w:val="0"/>
        <w:spacing w:line="360" w:lineRule="auto"/>
        <w:ind w:firstLine="0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571633">
        <w:rPr>
          <w:rFonts w:asciiTheme="majorBidi" w:hAnsiTheme="majorBidi" w:cstheme="majorBidi"/>
          <w:sz w:val="24"/>
          <w:szCs w:val="24"/>
        </w:rPr>
        <w:t>David Pool, “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Eritrean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People’s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Liberation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Front,” in Christopher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Clapham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, ed.,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African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Guerrillas </w:t>
      </w:r>
      <w:r w:rsidRPr="00571633">
        <w:rPr>
          <w:rFonts w:asciiTheme="majorBidi" w:hAnsiTheme="majorBidi" w:cstheme="majorBidi"/>
          <w:sz w:val="24"/>
          <w:szCs w:val="24"/>
        </w:rPr>
        <w:t>(Oxford, 1998), 22-6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71633" w:rsidRPr="00571633" w:rsidRDefault="00571633" w:rsidP="00571633">
      <w:pPr>
        <w:pStyle w:val="FootnoteText"/>
        <w:bidi w:val="0"/>
        <w:spacing w:line="360" w:lineRule="auto"/>
        <w:ind w:firstLine="0"/>
        <w:contextualSpacing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579E4" w:rsidRPr="00571633" w:rsidRDefault="00571633" w:rsidP="00571633">
      <w:pPr>
        <w:pStyle w:val="FootnoteText"/>
        <w:spacing w:line="360" w:lineRule="auto"/>
        <w:ind w:firstLine="0"/>
        <w:contextualSpacing/>
        <w:rPr>
          <w:rFonts w:asciiTheme="majorBidi" w:hAnsiTheme="majorBidi" w:cstheme="majorBidi"/>
          <w:sz w:val="24"/>
          <w:szCs w:val="24"/>
          <w:rtl/>
          <w:lang w:val="es-ES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s-ES"/>
        </w:rPr>
        <w:t xml:space="preserve">10. </w:t>
      </w:r>
      <w:r w:rsidR="00DD3C5E" w:rsidRPr="00571633">
        <w:rPr>
          <w:rFonts w:asciiTheme="majorBidi" w:hAnsiTheme="majorBidi" w:cstheme="majorBidi"/>
          <w:b/>
          <w:bCs/>
          <w:sz w:val="24"/>
          <w:szCs w:val="24"/>
          <w:rtl/>
          <w:lang w:val="es-ES"/>
        </w:rPr>
        <w:t>הדרג  ויחסו לשאלה האריתראית.</w:t>
      </w:r>
    </w:p>
    <w:p w:rsidR="00DD3C5E" w:rsidRPr="00571633" w:rsidRDefault="00DD3C5E" w:rsidP="00571633">
      <w:pPr>
        <w:pStyle w:val="FootnoteText"/>
        <w:spacing w:line="360" w:lineRule="auto"/>
        <w:ind w:firstLine="0"/>
        <w:contextualSpacing/>
        <w:rPr>
          <w:rFonts w:asciiTheme="majorBidi" w:hAnsiTheme="majorBidi" w:cstheme="majorBidi"/>
          <w:sz w:val="24"/>
          <w:szCs w:val="24"/>
          <w:lang w:val="es-ES"/>
        </w:rPr>
      </w:pPr>
      <w:r w:rsidRPr="00571633">
        <w:rPr>
          <w:rFonts w:asciiTheme="majorBidi" w:hAnsiTheme="majorBidi" w:cstheme="majorBidi"/>
          <w:sz w:val="24"/>
          <w:szCs w:val="24"/>
          <w:rtl/>
          <w:lang w:val="es-ES"/>
        </w:rPr>
        <w:t xml:space="preserve">חגי ארליך, </w:t>
      </w:r>
      <w:r w:rsidRPr="00571633">
        <w:rPr>
          <w:rFonts w:asciiTheme="majorBidi" w:hAnsiTheme="majorBidi" w:cstheme="majorBidi"/>
          <w:i/>
          <w:iCs/>
          <w:sz w:val="24"/>
          <w:szCs w:val="24"/>
          <w:rtl/>
          <w:lang w:val="es-ES"/>
        </w:rPr>
        <w:t>אתיופיה ובעית אריתראה בפתח תקופה . העיקרון "אתיופיה קודמת לכל"</w:t>
      </w:r>
      <w:r w:rsidRPr="00571633">
        <w:rPr>
          <w:rFonts w:asciiTheme="majorBidi" w:hAnsiTheme="majorBidi" w:cstheme="majorBidi"/>
          <w:sz w:val="24"/>
          <w:szCs w:val="24"/>
          <w:rtl/>
          <w:lang w:val="es-ES"/>
        </w:rPr>
        <w:t xml:space="preserve"> ומגמת בדלנות, אוניברסיטת תל אביב: תל אביב, 1975.</w:t>
      </w:r>
    </w:p>
    <w:p w:rsidR="00571633" w:rsidRPr="00571633" w:rsidRDefault="00571633" w:rsidP="00571633">
      <w:pPr>
        <w:pStyle w:val="FootnoteText"/>
        <w:bidi w:val="0"/>
        <w:spacing w:line="360" w:lineRule="auto"/>
        <w:ind w:firstLine="0"/>
        <w:contextualSpacing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571633">
        <w:rPr>
          <w:rFonts w:asciiTheme="majorBidi" w:hAnsiTheme="majorBidi" w:cstheme="majorBidi"/>
          <w:sz w:val="24"/>
          <w:szCs w:val="24"/>
        </w:rPr>
        <w:t>Ethiopian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Revolution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Center,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Class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Struggle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Problem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in Eritrea</w:t>
      </w:r>
      <w:r w:rsidRPr="00571633">
        <w:rPr>
          <w:rFonts w:asciiTheme="majorBidi" w:hAnsiTheme="majorBidi" w:cstheme="majorBidi"/>
          <w:sz w:val="24"/>
          <w:szCs w:val="24"/>
        </w:rPr>
        <w:t xml:space="preserve"> (Addis Ababa, 1979),</w:t>
      </w:r>
    </w:p>
    <w:p w:rsidR="00DD3C5E" w:rsidRPr="00571633" w:rsidRDefault="00DD3C5E" w:rsidP="00571633">
      <w:pPr>
        <w:pStyle w:val="FootnoteText"/>
        <w:bidi w:val="0"/>
        <w:spacing w:line="360" w:lineRule="auto"/>
        <w:ind w:firstLine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AE7808" w:rsidRPr="00571633" w:rsidRDefault="00571633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s-E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s-ES" w:bidi="he-IL"/>
        </w:rPr>
        <w:t>11</w:t>
      </w:r>
      <w:r w:rsidR="00D533AB" w:rsidRPr="00571633">
        <w:rPr>
          <w:rFonts w:asciiTheme="majorBidi" w:hAnsiTheme="majorBidi" w:cstheme="majorBidi"/>
          <w:b/>
          <w:bCs/>
          <w:sz w:val="24"/>
          <w:szCs w:val="24"/>
          <w:rtl/>
          <w:lang w:val="es-ES" w:bidi="he-IL"/>
        </w:rPr>
        <w:t xml:space="preserve">. </w:t>
      </w:r>
      <w:r w:rsidR="00AE7808" w:rsidRPr="00571633">
        <w:rPr>
          <w:rFonts w:asciiTheme="majorBidi" w:hAnsiTheme="majorBidi" w:cstheme="majorBidi"/>
          <w:b/>
          <w:bCs/>
          <w:sz w:val="24"/>
          <w:szCs w:val="24"/>
          <w:rtl/>
          <w:lang w:val="x-none" w:bidi="he-IL"/>
        </w:rPr>
        <w:t>היסטוריה של הסהו מהתקופה הקולוניאלית ועד 1991.</w:t>
      </w:r>
    </w:p>
    <w:p w:rsidR="00292532" w:rsidRPr="00571633" w:rsidRDefault="00AE7808" w:rsidP="005716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x-none" w:bidi="he-IL"/>
        </w:rPr>
      </w:pPr>
      <w:proofErr w:type="spellStart"/>
      <w:r w:rsidRPr="00571633">
        <w:rPr>
          <w:rFonts w:asciiTheme="majorBidi" w:hAnsiTheme="majorBidi" w:cstheme="majorBidi"/>
          <w:sz w:val="24"/>
          <w:szCs w:val="24"/>
          <w:lang w:val="en-US" w:bidi="he-IL"/>
        </w:rPr>
        <w:t>Abdulkader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 w:bidi="he-IL"/>
        </w:rPr>
        <w:t xml:space="preserve"> Saleh Mohammad, The Saho of Eritrea</w:t>
      </w:r>
      <w:r w:rsidR="00571633" w:rsidRPr="00571633">
        <w:rPr>
          <w:rFonts w:asciiTheme="majorBidi" w:hAnsiTheme="majorBidi" w:cstheme="majorBidi"/>
          <w:sz w:val="24"/>
          <w:szCs w:val="24"/>
          <w:lang w:val="en-US" w:bidi="he-IL"/>
        </w:rPr>
        <w:t>, Munster:</w:t>
      </w:r>
      <w:r w:rsidRPr="00571633">
        <w:rPr>
          <w:rFonts w:asciiTheme="majorBidi" w:hAnsiTheme="majorBidi" w:cstheme="majorBidi"/>
          <w:sz w:val="24"/>
          <w:szCs w:val="24"/>
          <w:lang w:val="en-US" w:bidi="he-IL"/>
        </w:rPr>
        <w:t xml:space="preserve"> Lit </w:t>
      </w:r>
      <w:proofErr w:type="spellStart"/>
      <w:r w:rsidRPr="00571633">
        <w:rPr>
          <w:rFonts w:asciiTheme="majorBidi" w:hAnsiTheme="majorBidi" w:cstheme="majorBidi"/>
          <w:sz w:val="24"/>
          <w:szCs w:val="24"/>
          <w:lang w:val="en-US" w:bidi="he-IL"/>
        </w:rPr>
        <w:t>Verlag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="00571633" w:rsidRPr="00571633">
        <w:rPr>
          <w:rFonts w:asciiTheme="majorBidi" w:hAnsiTheme="majorBidi" w:cstheme="majorBidi"/>
          <w:sz w:val="24"/>
          <w:szCs w:val="24"/>
          <w:lang w:val="en-US" w:bidi="he-IL"/>
        </w:rPr>
        <w:t xml:space="preserve"> 2013, pp.</w:t>
      </w:r>
      <w:r w:rsidRPr="00571633">
        <w:rPr>
          <w:rFonts w:asciiTheme="majorBidi" w:hAnsiTheme="majorBidi" w:cstheme="majorBidi"/>
          <w:sz w:val="24"/>
          <w:szCs w:val="24"/>
          <w:rtl/>
          <w:lang w:val="x-none" w:bidi="he-IL"/>
        </w:rPr>
        <w:t xml:space="preserve">162-235  </w:t>
      </w:r>
    </w:p>
    <w:p w:rsidR="00571633" w:rsidRPr="00571633" w:rsidRDefault="00571633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307BB" w:rsidRPr="00571633" w:rsidRDefault="00571633" w:rsidP="00571633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val="es-ES" w:bidi="he-IL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s-ES" w:bidi="he-IL"/>
        </w:rPr>
        <w:t>12</w:t>
      </w:r>
      <w:r w:rsidR="00D533AB" w:rsidRPr="00571633">
        <w:rPr>
          <w:rFonts w:asciiTheme="majorBidi" w:hAnsiTheme="majorBidi" w:cstheme="majorBidi"/>
          <w:b/>
          <w:bCs/>
          <w:sz w:val="24"/>
          <w:szCs w:val="24"/>
          <w:rtl/>
          <w:lang w:val="es-ES" w:bidi="he-IL"/>
        </w:rPr>
        <w:t xml:space="preserve">. </w:t>
      </w:r>
      <w:r w:rsidR="00F307BB" w:rsidRPr="00571633">
        <w:rPr>
          <w:rFonts w:asciiTheme="majorBidi" w:hAnsiTheme="majorBidi" w:cstheme="majorBidi"/>
          <w:b/>
          <w:bCs/>
          <w:sz w:val="24"/>
          <w:szCs w:val="24"/>
          <w:rtl/>
          <w:lang w:val="es-ES" w:bidi="he-IL"/>
        </w:rPr>
        <w:t>התפוצה האריתראית בתקופת הדרג: מאבקים אינטלקטואלים ודיפלומטים</w:t>
      </w:r>
    </w:p>
    <w:p w:rsidR="00F307BB" w:rsidRPr="00571633" w:rsidRDefault="00F307BB" w:rsidP="00571633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val="es-ES" w:bidi="he-IL"/>
        </w:rPr>
      </w:pPr>
    </w:p>
    <w:p w:rsidR="007F19AD" w:rsidRPr="00571633" w:rsidRDefault="007F19AD" w:rsidP="00571633">
      <w:pPr>
        <w:pStyle w:val="FootnoteText"/>
        <w:bidi w:val="0"/>
        <w:spacing w:line="360" w:lineRule="auto"/>
        <w:ind w:firstLine="0"/>
        <w:contextualSpacing/>
        <w:rPr>
          <w:rFonts w:asciiTheme="majorBidi" w:hAnsiTheme="majorBidi" w:cstheme="majorBidi"/>
          <w:sz w:val="24"/>
          <w:szCs w:val="24"/>
          <w:rtl/>
          <w:lang w:val="en-US"/>
        </w:rPr>
      </w:pPr>
      <w:proofErr w:type="spellStart"/>
      <w:r w:rsidRPr="00571633">
        <w:rPr>
          <w:rFonts w:asciiTheme="majorBidi" w:hAnsiTheme="majorBidi" w:cstheme="majorBidi"/>
          <w:sz w:val="24"/>
          <w:szCs w:val="24"/>
        </w:rPr>
        <w:t>Bereket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Habte</w:t>
      </w:r>
      <w:proofErr w:type="spellEnd"/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sz w:val="24"/>
          <w:szCs w:val="24"/>
        </w:rPr>
        <w:t>Selassie</w:t>
      </w:r>
      <w:proofErr w:type="spellEnd"/>
      <w:r w:rsidRPr="00571633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716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Crown and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Pen.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The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Memories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of a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Lawyer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turned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71633">
        <w:rPr>
          <w:rFonts w:asciiTheme="majorBidi" w:hAnsiTheme="majorBidi" w:cstheme="majorBidi"/>
          <w:i/>
          <w:iCs/>
          <w:sz w:val="24"/>
          <w:szCs w:val="24"/>
        </w:rPr>
        <w:t>Rebel</w:t>
      </w:r>
      <w:proofErr w:type="spellEnd"/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Pr="0057163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71633">
        <w:rPr>
          <w:rFonts w:asciiTheme="majorBidi" w:hAnsiTheme="majorBidi" w:cstheme="majorBidi"/>
          <w:sz w:val="24"/>
          <w:szCs w:val="24"/>
        </w:rPr>
        <w:t>Trenton, NJ and Asmara, Eritrea, 2007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571633">
        <w:rPr>
          <w:rFonts w:asciiTheme="majorBidi" w:hAnsiTheme="majorBidi" w:cstheme="majorBidi"/>
          <w:sz w:val="24"/>
          <w:szCs w:val="24"/>
        </w:rPr>
        <w:t xml:space="preserve"> 3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>27-350.</w:t>
      </w:r>
    </w:p>
    <w:p w:rsidR="00571633" w:rsidRPr="00571633" w:rsidRDefault="00571633" w:rsidP="00571633">
      <w:pPr>
        <w:pStyle w:val="FootnoteText"/>
        <w:bidi w:val="0"/>
        <w:spacing w:line="360" w:lineRule="auto"/>
        <w:ind w:firstLine="0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:rsidR="00F307BB" w:rsidRPr="00571633" w:rsidRDefault="00571633" w:rsidP="00571633">
      <w:pPr>
        <w:pStyle w:val="FootnoteText"/>
        <w:spacing w:line="360" w:lineRule="auto"/>
        <w:ind w:firstLine="0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s-ES"/>
        </w:rPr>
      </w:pPr>
      <w:r w:rsidRPr="00571633">
        <w:rPr>
          <w:rFonts w:asciiTheme="majorBidi" w:hAnsiTheme="majorBidi" w:cstheme="majorBidi"/>
          <w:b/>
          <w:bCs/>
          <w:sz w:val="24"/>
          <w:szCs w:val="24"/>
          <w:rtl/>
          <w:lang w:val="es-ES"/>
        </w:rPr>
        <w:t>13. סיכום</w:t>
      </w:r>
    </w:p>
    <w:p w:rsidR="00540C2E" w:rsidRPr="00571633" w:rsidRDefault="00540C2E" w:rsidP="00571633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John Markakis, “The Nationalist Revolution of Eritrea,” </w:t>
      </w:r>
      <w:r w:rsidRPr="0057163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The Journal of Modern African Studies, </w:t>
      </w:r>
      <w:r w:rsidRPr="00571633">
        <w:rPr>
          <w:rFonts w:asciiTheme="majorBidi" w:hAnsiTheme="majorBidi" w:cstheme="majorBidi"/>
          <w:sz w:val="24"/>
          <w:szCs w:val="24"/>
          <w:lang w:val="en-US"/>
        </w:rPr>
        <w:t xml:space="preserve">26, 1 (1988), 51-70.  </w:t>
      </w:r>
    </w:p>
    <w:sectPr w:rsidR="00540C2E" w:rsidRPr="00571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2E"/>
    <w:rsid w:val="00292532"/>
    <w:rsid w:val="002C0CFD"/>
    <w:rsid w:val="00306E6F"/>
    <w:rsid w:val="00316FC8"/>
    <w:rsid w:val="00540C2E"/>
    <w:rsid w:val="00571633"/>
    <w:rsid w:val="00673423"/>
    <w:rsid w:val="007F19AD"/>
    <w:rsid w:val="00877518"/>
    <w:rsid w:val="00985495"/>
    <w:rsid w:val="00A03AD2"/>
    <w:rsid w:val="00A2468E"/>
    <w:rsid w:val="00A579E4"/>
    <w:rsid w:val="00A715B0"/>
    <w:rsid w:val="00AE7808"/>
    <w:rsid w:val="00B26618"/>
    <w:rsid w:val="00CD0147"/>
    <w:rsid w:val="00D533AB"/>
    <w:rsid w:val="00DA56F6"/>
    <w:rsid w:val="00DD3C5E"/>
    <w:rsid w:val="00F307BB"/>
    <w:rsid w:val="00FA6CD2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B902"/>
  <w15:chartTrackingRefBased/>
  <w15:docId w15:val="{1D2A8D10-22A1-4464-A1D1-03D53F82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579E4"/>
    <w:pPr>
      <w:bidi/>
      <w:spacing w:after="0" w:line="240" w:lineRule="auto"/>
      <w:ind w:firstLine="720"/>
    </w:pPr>
    <w:rPr>
      <w:rFonts w:ascii="Calibri" w:eastAsia="Calibri" w:hAnsi="Calibri" w:cs="Times New Roman"/>
      <w:sz w:val="20"/>
      <w:szCs w:val="20"/>
      <w:lang w:val="x-none" w:eastAsia="x-none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79E4"/>
    <w:rPr>
      <w:rFonts w:ascii="Calibri" w:eastAsia="Calibri" w:hAnsi="Calibri" w:cs="Times New Roman"/>
      <w:sz w:val="20"/>
      <w:szCs w:val="20"/>
      <w:lang w:val="x-none" w:eastAsia="x-none" w:bidi="he-IL"/>
    </w:rPr>
  </w:style>
  <w:style w:type="character" w:styleId="FootnoteReference">
    <w:name w:val="footnote reference"/>
    <w:uiPriority w:val="99"/>
    <w:semiHidden/>
    <w:unhideWhenUsed/>
    <w:rsid w:val="00A57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6</cp:revision>
  <dcterms:created xsi:type="dcterms:W3CDTF">2018-07-19T15:16:00Z</dcterms:created>
  <dcterms:modified xsi:type="dcterms:W3CDTF">2018-07-25T14:12:00Z</dcterms:modified>
</cp:coreProperties>
</file>