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4A7" w:rsidRPr="00D05254" w:rsidRDefault="00BE24A7" w:rsidP="00BE24A7">
      <w:pPr>
        <w:jc w:val="center"/>
        <w:rPr>
          <w:rFonts w:cs="David"/>
        </w:rPr>
      </w:pPr>
      <w:r w:rsidRPr="00D05254">
        <w:rPr>
          <w:rFonts w:cs="David"/>
          <w:noProof/>
          <w:lang w:val="es-MX" w:eastAsia="es-MX"/>
        </w:rPr>
        <w:drawing>
          <wp:inline distT="0" distB="0" distL="0" distR="0" wp14:anchorId="40030420" wp14:editId="4EC21006">
            <wp:extent cx="494030" cy="572770"/>
            <wp:effectExtent l="0" t="0" r="1270" b="0"/>
            <wp:docPr id="1" name="תמונה 1" descr="B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U"/>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94030" cy="572770"/>
                    </a:xfrm>
                    <a:prstGeom prst="rect">
                      <a:avLst/>
                    </a:prstGeom>
                    <a:noFill/>
                    <a:ln>
                      <a:noFill/>
                    </a:ln>
                  </pic:spPr>
                </pic:pic>
              </a:graphicData>
            </a:graphic>
          </wp:inline>
        </w:drawing>
      </w:r>
    </w:p>
    <w:p w:rsidR="00BE24A7" w:rsidRPr="00D05254" w:rsidRDefault="00BE24A7" w:rsidP="00BE24A7">
      <w:pPr>
        <w:pStyle w:val="Caption"/>
        <w:rPr>
          <w:b w:val="0"/>
          <w:bCs w:val="0"/>
          <w:rtl/>
        </w:rPr>
      </w:pPr>
      <w:r w:rsidRPr="00D05254">
        <w:rPr>
          <w:b w:val="0"/>
          <w:bCs w:val="0"/>
          <w:rtl/>
        </w:rPr>
        <w:t>אוניברסיטת בן-גוריון בנגב</w:t>
      </w:r>
    </w:p>
    <w:p w:rsidR="00BE24A7" w:rsidRPr="00D05254" w:rsidRDefault="00BE24A7" w:rsidP="00BE24A7">
      <w:pPr>
        <w:jc w:val="center"/>
        <w:rPr>
          <w:rtl/>
        </w:rPr>
      </w:pPr>
      <w:r w:rsidRPr="00D05254">
        <w:rPr>
          <w:rFonts w:cs="David"/>
          <w:sz w:val="28"/>
          <w:szCs w:val="28"/>
          <w:rtl/>
        </w:rPr>
        <w:t>הפקולטה למדעי הרוח והחברה</w:t>
      </w:r>
    </w:p>
    <w:p w:rsidR="00BE24A7" w:rsidRDefault="00BE24A7" w:rsidP="00BE24A7">
      <w:pPr>
        <w:jc w:val="center"/>
        <w:rPr>
          <w:rtl/>
        </w:rPr>
      </w:pPr>
    </w:p>
    <w:p w:rsidR="00BA4CD4" w:rsidRPr="00BA4CD4" w:rsidRDefault="00BA4CD4" w:rsidP="00BA4CD4">
      <w:pPr>
        <w:bidi w:val="0"/>
        <w:jc w:val="center"/>
        <w:rPr>
          <w:rFonts w:asciiTheme="majorBidi" w:hAnsiTheme="majorBidi" w:cstheme="majorBidi"/>
          <w:sz w:val="28"/>
          <w:szCs w:val="28"/>
          <w:rtl/>
        </w:rPr>
      </w:pPr>
      <w:r w:rsidRPr="00BA4CD4">
        <w:rPr>
          <w:rFonts w:asciiTheme="majorBidi" w:hAnsiTheme="majorBidi" w:cstheme="majorBidi"/>
          <w:sz w:val="28"/>
          <w:szCs w:val="28"/>
          <w:rtl/>
        </w:rPr>
        <w:t xml:space="preserve">נצרות ונוצרים </w:t>
      </w:r>
      <w:r w:rsidRPr="00BA4CD4">
        <w:rPr>
          <w:rFonts w:asciiTheme="majorBidi" w:hAnsiTheme="majorBidi" w:cstheme="majorBidi" w:hint="cs"/>
          <w:sz w:val="28"/>
          <w:szCs w:val="28"/>
          <w:rtl/>
        </w:rPr>
        <w:t>ב</w:t>
      </w:r>
      <w:r w:rsidRPr="00BA4CD4">
        <w:rPr>
          <w:rFonts w:asciiTheme="majorBidi" w:hAnsiTheme="majorBidi" w:cstheme="majorBidi"/>
          <w:sz w:val="28"/>
          <w:szCs w:val="28"/>
          <w:rtl/>
        </w:rPr>
        <w:t>מזרח התיכון ואפריקה</w:t>
      </w:r>
    </w:p>
    <w:p w:rsidR="00BA4CD4" w:rsidRDefault="00BA4CD4" w:rsidP="00144111">
      <w:pPr>
        <w:pStyle w:val="Subtitle"/>
        <w:jc w:val="center"/>
        <w:rPr>
          <w:rFonts w:ascii="Arial" w:hAnsi="Arial" w:cs="Arial"/>
          <w:b w:val="0"/>
          <w:bCs w:val="0"/>
          <w:u w:val="single"/>
        </w:rPr>
      </w:pPr>
    </w:p>
    <w:p w:rsidR="009F0007" w:rsidRDefault="009F0007" w:rsidP="00144111">
      <w:pPr>
        <w:pStyle w:val="Subtitle"/>
        <w:jc w:val="center"/>
        <w:rPr>
          <w:rFonts w:ascii="Arial" w:hAnsi="Arial" w:cs="Arial"/>
          <w:b w:val="0"/>
          <w:bCs w:val="0"/>
          <w:u w:val="single"/>
          <w:rtl/>
        </w:rPr>
      </w:pPr>
    </w:p>
    <w:p w:rsidR="00BA4CD4" w:rsidRDefault="00BA4CD4" w:rsidP="00144111">
      <w:pPr>
        <w:pStyle w:val="Subtitle"/>
        <w:jc w:val="center"/>
        <w:rPr>
          <w:rFonts w:ascii="Arial" w:hAnsi="Arial" w:cs="Arial"/>
          <w:b w:val="0"/>
          <w:bCs w:val="0"/>
          <w:u w:val="single"/>
          <w:rtl/>
        </w:rPr>
      </w:pPr>
    </w:p>
    <w:p w:rsidR="00F9137E" w:rsidRPr="009F0007" w:rsidRDefault="009F0007" w:rsidP="00F9137E">
      <w:pPr>
        <w:pStyle w:val="Subtitle"/>
        <w:jc w:val="center"/>
        <w:rPr>
          <w:rFonts w:ascii="Arial" w:hAnsi="Arial" w:cs="Arial" w:hint="cs"/>
          <w:b w:val="0"/>
          <w:bCs w:val="0"/>
          <w:u w:val="single"/>
          <w:rtl/>
          <w:lang w:val="es-ES"/>
        </w:rPr>
      </w:pPr>
      <w:r>
        <w:rPr>
          <w:rFonts w:ascii="Arial" w:hAnsi="Arial" w:cs="Arial"/>
          <w:b w:val="0"/>
          <w:bCs w:val="0"/>
          <w:u w:val="single"/>
        </w:rPr>
        <w:t>2021-2022</w:t>
      </w:r>
      <w:r>
        <w:rPr>
          <w:rFonts w:ascii="Arial" w:hAnsi="Arial" w:cs="Arial" w:hint="cs"/>
          <w:b w:val="0"/>
          <w:bCs w:val="0"/>
          <w:u w:val="single"/>
          <w:rtl/>
          <w:lang w:val="es-ES"/>
        </w:rPr>
        <w:t xml:space="preserve"> תשפ"ב</w:t>
      </w:r>
    </w:p>
    <w:p w:rsidR="00144111" w:rsidRPr="00EB7BF2" w:rsidRDefault="00144111" w:rsidP="00144111">
      <w:pPr>
        <w:pStyle w:val="Subtitle"/>
        <w:jc w:val="center"/>
        <w:rPr>
          <w:rFonts w:ascii="Arial" w:hAnsi="Arial" w:cs="Arial"/>
          <w:b w:val="0"/>
          <w:bCs w:val="0"/>
          <w:rtl/>
        </w:rPr>
      </w:pPr>
      <w:r>
        <w:rPr>
          <w:rFonts w:ascii="Arial" w:hAnsi="Arial" w:cs="Arial" w:hint="cs"/>
          <w:b w:val="0"/>
          <w:bCs w:val="0"/>
          <w:rtl/>
        </w:rPr>
        <w:t>ד"ר. לאונרדו כהן</w:t>
      </w:r>
    </w:p>
    <w:p w:rsidR="00144111" w:rsidRDefault="00144111" w:rsidP="00144111">
      <w:pPr>
        <w:pStyle w:val="Subtitle"/>
        <w:jc w:val="center"/>
        <w:rPr>
          <w:rFonts w:ascii="Arial" w:hAnsi="Arial" w:cs="Arial"/>
          <w:b w:val="0"/>
          <w:bCs w:val="0"/>
          <w:u w:val="single"/>
          <w:rtl/>
        </w:rPr>
      </w:pPr>
    </w:p>
    <w:p w:rsidR="00144111" w:rsidRDefault="00144111" w:rsidP="00144111">
      <w:pPr>
        <w:jc w:val="center"/>
        <w:rPr>
          <w:rtl/>
          <w:lang w:val="es-MX"/>
        </w:rPr>
      </w:pPr>
      <w:r>
        <w:rPr>
          <w:rFonts w:hint="cs"/>
          <w:rtl/>
          <w:lang w:val="es-MX"/>
        </w:rPr>
        <w:t>המחלקה למזרח התיכון והתוכנית הבין-אוניברסיטאי ללימודי אפריקה</w:t>
      </w:r>
    </w:p>
    <w:p w:rsidR="00144111" w:rsidRDefault="00144111" w:rsidP="00144111">
      <w:pPr>
        <w:jc w:val="center"/>
        <w:rPr>
          <w:rtl/>
          <w:lang w:val="es-MX"/>
        </w:rPr>
      </w:pPr>
    </w:p>
    <w:p w:rsidR="00144111" w:rsidRDefault="00144111" w:rsidP="00BE24A7">
      <w:pPr>
        <w:jc w:val="center"/>
        <w:rPr>
          <w:rtl/>
        </w:rPr>
      </w:pPr>
    </w:p>
    <w:p w:rsidR="007D7341" w:rsidRDefault="007D7341" w:rsidP="00144111">
      <w:pPr>
        <w:bidi w:val="0"/>
        <w:jc w:val="center"/>
        <w:rPr>
          <w:rFonts w:asciiTheme="majorBidi" w:hAnsiTheme="majorBidi" w:cstheme="majorBidi"/>
          <w:sz w:val="24"/>
          <w:szCs w:val="24"/>
          <w:rtl/>
        </w:rPr>
      </w:pPr>
      <w:r w:rsidRPr="007D6EED">
        <w:rPr>
          <w:rFonts w:asciiTheme="majorBidi" w:hAnsiTheme="majorBidi" w:cstheme="majorBidi"/>
          <w:sz w:val="24"/>
          <w:szCs w:val="24"/>
          <w:rtl/>
        </w:rPr>
        <w:t>סמינר שנתי</w:t>
      </w:r>
    </w:p>
    <w:p w:rsidR="00144111" w:rsidRPr="00144111" w:rsidRDefault="00F9137E" w:rsidP="00144111">
      <w:pPr>
        <w:bidi w:val="0"/>
        <w:jc w:val="center"/>
        <w:rPr>
          <w:rFonts w:asciiTheme="majorBidi" w:hAnsiTheme="majorBidi" w:cstheme="majorBidi"/>
          <w:sz w:val="24"/>
          <w:szCs w:val="24"/>
          <w:rtl/>
        </w:rPr>
      </w:pPr>
      <w:r>
        <w:rPr>
          <w:rFonts w:asciiTheme="majorBidi" w:hAnsiTheme="majorBidi" w:cstheme="majorBidi"/>
          <w:sz w:val="24"/>
          <w:szCs w:val="24"/>
        </w:rPr>
        <w:t>192-1-77</w:t>
      </w:r>
      <w:r w:rsidR="00144111" w:rsidRPr="00144111">
        <w:rPr>
          <w:rFonts w:asciiTheme="majorBidi" w:hAnsiTheme="majorBidi" w:cstheme="majorBidi"/>
          <w:sz w:val="24"/>
          <w:szCs w:val="24"/>
        </w:rPr>
        <w:t xml:space="preserve"> </w:t>
      </w:r>
    </w:p>
    <w:p w:rsidR="00144111" w:rsidRPr="00144111" w:rsidRDefault="00F9137E" w:rsidP="00BA4CD4">
      <w:pPr>
        <w:bidi w:val="0"/>
        <w:jc w:val="center"/>
        <w:rPr>
          <w:rFonts w:asciiTheme="majorBidi" w:hAnsiTheme="majorBidi" w:cstheme="majorBidi"/>
          <w:sz w:val="24"/>
          <w:szCs w:val="24"/>
          <w:rtl/>
        </w:rPr>
      </w:pPr>
      <w:r>
        <w:rPr>
          <w:rFonts w:asciiTheme="majorBidi" w:hAnsiTheme="majorBidi" w:cstheme="majorBidi"/>
          <w:sz w:val="24"/>
          <w:szCs w:val="24"/>
        </w:rPr>
        <w:t>192-1-87</w:t>
      </w:r>
    </w:p>
    <w:p w:rsidR="00FA5588" w:rsidRDefault="00FA5588" w:rsidP="00144111">
      <w:pPr>
        <w:bidi w:val="0"/>
        <w:jc w:val="center"/>
        <w:rPr>
          <w:rFonts w:asciiTheme="majorBidi" w:hAnsiTheme="majorBidi" w:cs="Times New Roman"/>
          <w:sz w:val="24"/>
          <w:szCs w:val="24"/>
          <w:rtl/>
        </w:rPr>
      </w:pPr>
      <w:r>
        <w:rPr>
          <w:rFonts w:asciiTheme="majorBidi" w:hAnsiTheme="majorBidi" w:cs="Times New Roman" w:hint="cs"/>
          <w:sz w:val="24"/>
          <w:szCs w:val="24"/>
          <w:rtl/>
        </w:rPr>
        <w:t>יום ראשון 14-16</w:t>
      </w:r>
    </w:p>
    <w:p w:rsidR="00144111" w:rsidRPr="00144111" w:rsidRDefault="00144111" w:rsidP="00FA5588">
      <w:pPr>
        <w:bidi w:val="0"/>
        <w:jc w:val="center"/>
        <w:rPr>
          <w:rFonts w:asciiTheme="majorBidi" w:hAnsiTheme="majorBidi" w:cstheme="majorBidi"/>
          <w:sz w:val="24"/>
          <w:szCs w:val="24"/>
          <w:rtl/>
        </w:rPr>
      </w:pPr>
      <w:r>
        <w:rPr>
          <w:rFonts w:asciiTheme="majorBidi" w:hAnsiTheme="majorBidi" w:cs="Times New Roman" w:hint="cs"/>
          <w:sz w:val="24"/>
          <w:szCs w:val="24"/>
          <w:rtl/>
        </w:rPr>
        <w:t>שעות קבלה: יום א 18:00-19:00</w:t>
      </w:r>
    </w:p>
    <w:p w:rsidR="007D7341" w:rsidRPr="00FA5588" w:rsidRDefault="007D7341" w:rsidP="00144111">
      <w:pPr>
        <w:bidi w:val="0"/>
        <w:rPr>
          <w:rFonts w:asciiTheme="majorBidi" w:hAnsiTheme="majorBidi" w:cstheme="majorBidi" w:hint="cs"/>
          <w:sz w:val="24"/>
          <w:szCs w:val="24"/>
          <w:rtl/>
          <w:lang w:val="es-ES"/>
        </w:rPr>
      </w:pPr>
    </w:p>
    <w:p w:rsidR="007D7341" w:rsidRPr="007D6EED" w:rsidRDefault="007D7341" w:rsidP="007D7341">
      <w:pPr>
        <w:jc w:val="both"/>
        <w:rPr>
          <w:rFonts w:asciiTheme="majorBidi" w:hAnsiTheme="majorBidi" w:cstheme="majorBidi"/>
          <w:sz w:val="24"/>
          <w:szCs w:val="24"/>
        </w:rPr>
      </w:pPr>
      <w:r w:rsidRPr="007D6EED">
        <w:rPr>
          <w:rFonts w:asciiTheme="majorBidi" w:hAnsiTheme="majorBidi" w:cstheme="majorBidi"/>
          <w:sz w:val="24"/>
          <w:szCs w:val="24"/>
          <w:rtl/>
        </w:rPr>
        <w:t>הסמינר עוסק בתולדות הנצרות ביבשת אפריקה ובמזרח התיכון. בסמסטר הראשון הסמינר אמור לספק מידע כללי על התפתחות התופעה הנוצרית בקונטקסטים שונים ומגוונים. בסמסטר השני הסטודנטים וסטודנטיות יגישו רפרט שבעל פה בכל נושא שיהיה קשור לקורס ובאישור המרצה. בסילבוס מופיע רשימה של נושאים אופציונלים שעליהם ניתן לכתוב. בנוסף, בסוף סמסטר א, יתקיים בוחן על מושגים וידע בסיסי בתולדות הנצרות בכלל ובנצרות באפריקה ובמזרח התיכון בפרט.</w:t>
      </w:r>
    </w:p>
    <w:p w:rsidR="007D7341" w:rsidRPr="007D6EED" w:rsidRDefault="007D7341" w:rsidP="007D7341">
      <w:pPr>
        <w:jc w:val="both"/>
        <w:rPr>
          <w:rFonts w:asciiTheme="majorBidi" w:hAnsiTheme="majorBidi" w:cstheme="majorBidi"/>
          <w:sz w:val="24"/>
          <w:szCs w:val="24"/>
          <w:rtl/>
          <w:lang w:val="es-ES"/>
        </w:rPr>
      </w:pPr>
      <w:r w:rsidRPr="007D6EED">
        <w:rPr>
          <w:rFonts w:asciiTheme="majorBidi" w:hAnsiTheme="majorBidi" w:cstheme="majorBidi"/>
          <w:sz w:val="24"/>
          <w:szCs w:val="24"/>
          <w:rtl/>
          <w:lang w:val="es-ES"/>
        </w:rPr>
        <w:t>מילות מפתח: אפריקה, מזרח תיכון, נצרות</w:t>
      </w:r>
    </w:p>
    <w:p w:rsidR="007D7341" w:rsidRPr="007D6EED" w:rsidRDefault="007D7341" w:rsidP="007D7341">
      <w:pPr>
        <w:jc w:val="both"/>
        <w:rPr>
          <w:rFonts w:asciiTheme="majorBidi" w:hAnsiTheme="majorBidi" w:cstheme="majorBidi"/>
          <w:sz w:val="24"/>
          <w:szCs w:val="24"/>
          <w:rtl/>
        </w:rPr>
      </w:pPr>
    </w:p>
    <w:p w:rsidR="007D7341" w:rsidRPr="007D6EED" w:rsidRDefault="007D7341" w:rsidP="007D7341">
      <w:pPr>
        <w:jc w:val="both"/>
        <w:rPr>
          <w:rFonts w:asciiTheme="majorBidi" w:hAnsiTheme="majorBidi" w:cstheme="majorBidi"/>
          <w:sz w:val="24"/>
          <w:szCs w:val="24"/>
          <w:rtl/>
        </w:rPr>
      </w:pPr>
      <w:r w:rsidRPr="007D6EED">
        <w:rPr>
          <w:rFonts w:asciiTheme="majorBidi" w:hAnsiTheme="majorBidi" w:cstheme="majorBidi"/>
          <w:sz w:val="24"/>
          <w:szCs w:val="24"/>
          <w:rtl/>
        </w:rPr>
        <w:t>הרכב הציון:</w:t>
      </w:r>
    </w:p>
    <w:p w:rsidR="007D7341" w:rsidRPr="007D6EED" w:rsidRDefault="00144111" w:rsidP="007D7341">
      <w:pPr>
        <w:jc w:val="both"/>
        <w:rPr>
          <w:rFonts w:asciiTheme="majorBidi" w:hAnsiTheme="majorBidi" w:cstheme="majorBidi"/>
          <w:sz w:val="24"/>
          <w:szCs w:val="24"/>
          <w:rtl/>
        </w:rPr>
      </w:pPr>
      <w:r>
        <w:rPr>
          <w:rFonts w:asciiTheme="majorBidi" w:hAnsiTheme="majorBidi" w:cstheme="majorBidi"/>
          <w:sz w:val="24"/>
          <w:szCs w:val="24"/>
          <w:rtl/>
        </w:rPr>
        <w:t>20% הש</w:t>
      </w:r>
      <w:r w:rsidR="006309CD">
        <w:rPr>
          <w:rFonts w:asciiTheme="majorBidi" w:hAnsiTheme="majorBidi" w:cstheme="majorBidi" w:hint="cs"/>
          <w:sz w:val="24"/>
          <w:szCs w:val="24"/>
          <w:rtl/>
        </w:rPr>
        <w:t>תת</w:t>
      </w:r>
      <w:r w:rsidR="007D7341" w:rsidRPr="007D6EED">
        <w:rPr>
          <w:rFonts w:asciiTheme="majorBidi" w:hAnsiTheme="majorBidi" w:cstheme="majorBidi"/>
          <w:sz w:val="24"/>
          <w:szCs w:val="24"/>
          <w:rtl/>
        </w:rPr>
        <w:t>פות</w:t>
      </w:r>
    </w:p>
    <w:p w:rsidR="007D7341" w:rsidRPr="007D6EED" w:rsidRDefault="007D7341" w:rsidP="007D7341">
      <w:pPr>
        <w:jc w:val="both"/>
        <w:rPr>
          <w:rFonts w:asciiTheme="majorBidi" w:hAnsiTheme="majorBidi" w:cstheme="majorBidi"/>
          <w:sz w:val="24"/>
          <w:szCs w:val="24"/>
          <w:rtl/>
        </w:rPr>
      </w:pPr>
      <w:r w:rsidRPr="007D6EED">
        <w:rPr>
          <w:rFonts w:asciiTheme="majorBidi" w:hAnsiTheme="majorBidi" w:cstheme="majorBidi"/>
          <w:sz w:val="24"/>
          <w:szCs w:val="24"/>
          <w:rtl/>
        </w:rPr>
        <w:t>20% בוחן</w:t>
      </w:r>
    </w:p>
    <w:p w:rsidR="007D7341" w:rsidRPr="007D6EED" w:rsidRDefault="007D7341" w:rsidP="007D7341">
      <w:pPr>
        <w:jc w:val="both"/>
        <w:rPr>
          <w:rFonts w:asciiTheme="majorBidi" w:hAnsiTheme="majorBidi" w:cstheme="majorBidi"/>
          <w:sz w:val="24"/>
          <w:szCs w:val="24"/>
        </w:rPr>
      </w:pPr>
      <w:r w:rsidRPr="007D6EED">
        <w:rPr>
          <w:rFonts w:asciiTheme="majorBidi" w:hAnsiTheme="majorBidi" w:cstheme="majorBidi"/>
          <w:sz w:val="24"/>
          <w:szCs w:val="24"/>
          <w:rtl/>
        </w:rPr>
        <w:t>60% עבודה סמינריונית</w:t>
      </w:r>
    </w:p>
    <w:p w:rsidR="007D7341" w:rsidRPr="007D6EED" w:rsidRDefault="007D7341" w:rsidP="007D7341">
      <w:pPr>
        <w:rPr>
          <w:rFonts w:asciiTheme="majorBidi" w:hAnsiTheme="majorBidi" w:cstheme="majorBidi"/>
          <w:sz w:val="24"/>
          <w:szCs w:val="24"/>
        </w:rPr>
      </w:pPr>
    </w:p>
    <w:p w:rsidR="007D7341" w:rsidRPr="007D6EED" w:rsidRDefault="007D7341" w:rsidP="007D7341">
      <w:pPr>
        <w:bidi w:val="0"/>
        <w:rPr>
          <w:rFonts w:asciiTheme="majorBidi" w:hAnsiTheme="majorBidi" w:cstheme="majorBidi"/>
          <w:color w:val="222222"/>
          <w:sz w:val="24"/>
          <w:szCs w:val="24"/>
        </w:rPr>
      </w:pPr>
      <w:r w:rsidRPr="007D6EED">
        <w:rPr>
          <w:rFonts w:asciiTheme="majorBidi" w:hAnsiTheme="majorBidi" w:cstheme="majorBidi"/>
          <w:color w:val="222222"/>
          <w:sz w:val="24"/>
          <w:szCs w:val="24"/>
        </w:rPr>
        <w:t>The seminar deals with the history of Christianity in Africa and the Middle East. In the first semester, the seminar will provide general information about the development of the Christian phenomenon in a variety of contexts. In the second semester, the students will submit an oral repertoire on any subject related to the course and with the approval of the teacher. The syllabus contains a list of optional topics on which to write. In addition, at the end of the first semester, an exam will be held on basic concepts and knowledge in the history of Christianity in general and Christianity in Africa and the Middle East in particular.</w:t>
      </w:r>
    </w:p>
    <w:p w:rsidR="007D7341" w:rsidRPr="007D6EED" w:rsidRDefault="007D7341" w:rsidP="007D7341">
      <w:pPr>
        <w:bidi w:val="0"/>
        <w:rPr>
          <w:rFonts w:asciiTheme="majorBidi" w:hAnsiTheme="majorBidi" w:cstheme="majorBidi"/>
          <w:sz w:val="24"/>
          <w:szCs w:val="24"/>
        </w:rPr>
      </w:pPr>
      <w:r>
        <w:rPr>
          <w:rFonts w:asciiTheme="majorBidi" w:hAnsiTheme="majorBidi" w:cstheme="majorBidi"/>
          <w:color w:val="222222"/>
          <w:sz w:val="24"/>
          <w:szCs w:val="24"/>
        </w:rPr>
        <w:t>Key</w:t>
      </w:r>
      <w:r w:rsidRPr="007D6EED">
        <w:rPr>
          <w:rFonts w:asciiTheme="majorBidi" w:hAnsiTheme="majorBidi" w:cstheme="majorBidi"/>
          <w:color w:val="222222"/>
          <w:sz w:val="24"/>
          <w:szCs w:val="24"/>
        </w:rPr>
        <w:t>words: Africa, Middle East, Christianity</w:t>
      </w:r>
    </w:p>
    <w:p w:rsidR="007D7341" w:rsidRPr="008F62D5" w:rsidRDefault="007D7341" w:rsidP="007D7341">
      <w:pPr>
        <w:rPr>
          <w:rFonts w:asciiTheme="majorBidi" w:hAnsiTheme="majorBidi" w:cstheme="majorBidi"/>
          <w:b/>
          <w:bCs/>
          <w:sz w:val="24"/>
          <w:szCs w:val="24"/>
          <w:rtl/>
        </w:rPr>
      </w:pPr>
    </w:p>
    <w:p w:rsidR="007D7341" w:rsidRPr="007D7341" w:rsidRDefault="007D7341" w:rsidP="007D7341">
      <w:pPr>
        <w:rPr>
          <w:rFonts w:asciiTheme="majorBidi" w:hAnsiTheme="majorBidi" w:cstheme="majorBidi"/>
          <w:b/>
          <w:bCs/>
          <w:sz w:val="24"/>
          <w:szCs w:val="24"/>
        </w:rPr>
      </w:pPr>
      <w:r w:rsidRPr="008F62D5">
        <w:rPr>
          <w:rFonts w:asciiTheme="majorBidi" w:hAnsiTheme="majorBidi" w:cstheme="majorBidi"/>
          <w:b/>
          <w:bCs/>
          <w:sz w:val="24"/>
          <w:szCs w:val="24"/>
          <w:rtl/>
          <w:lang w:val="es-MX"/>
        </w:rPr>
        <w:t>1 מבוא לנצרות</w:t>
      </w:r>
    </w:p>
    <w:p w:rsidR="007D7341" w:rsidRPr="007D6EED" w:rsidRDefault="007D7341" w:rsidP="007D7341">
      <w:pPr>
        <w:bidi w:val="0"/>
        <w:rPr>
          <w:rFonts w:asciiTheme="majorBidi" w:hAnsiTheme="majorBidi" w:cstheme="majorBidi"/>
          <w:sz w:val="24"/>
          <w:szCs w:val="24"/>
          <w:rtl/>
          <w:lang w:val="es-MX"/>
        </w:rPr>
      </w:pPr>
      <w:r w:rsidRPr="007D6EED">
        <w:rPr>
          <w:rFonts w:asciiTheme="majorBidi" w:hAnsiTheme="majorBidi" w:cstheme="majorBidi"/>
          <w:sz w:val="24"/>
          <w:szCs w:val="24"/>
        </w:rPr>
        <w:t xml:space="preserve">Jaroslav </w:t>
      </w:r>
      <w:proofErr w:type="spellStart"/>
      <w:r w:rsidRPr="007D6EED">
        <w:rPr>
          <w:rFonts w:asciiTheme="majorBidi" w:hAnsiTheme="majorBidi" w:cstheme="majorBidi"/>
          <w:sz w:val="24"/>
          <w:szCs w:val="24"/>
        </w:rPr>
        <w:t>Pelikan</w:t>
      </w:r>
      <w:proofErr w:type="spellEnd"/>
      <w:r w:rsidRPr="007D6EED">
        <w:rPr>
          <w:rFonts w:asciiTheme="majorBidi" w:hAnsiTheme="majorBidi" w:cstheme="majorBidi"/>
          <w:sz w:val="24"/>
          <w:szCs w:val="24"/>
        </w:rPr>
        <w:t xml:space="preserve">, “Christianity: </w:t>
      </w:r>
      <w:proofErr w:type="gramStart"/>
      <w:r w:rsidRPr="007D6EED">
        <w:rPr>
          <w:rFonts w:asciiTheme="majorBidi" w:hAnsiTheme="majorBidi" w:cstheme="majorBidi"/>
          <w:sz w:val="24"/>
          <w:szCs w:val="24"/>
        </w:rPr>
        <w:t>an</w:t>
      </w:r>
      <w:proofErr w:type="gramEnd"/>
      <w:r w:rsidRPr="007D6EED">
        <w:rPr>
          <w:rFonts w:asciiTheme="majorBidi" w:hAnsiTheme="majorBidi" w:cstheme="majorBidi"/>
          <w:sz w:val="24"/>
          <w:szCs w:val="24"/>
        </w:rPr>
        <w:t xml:space="preserve"> Overview” in </w:t>
      </w:r>
      <w:proofErr w:type="spellStart"/>
      <w:r w:rsidRPr="007D6EED">
        <w:rPr>
          <w:rFonts w:asciiTheme="majorBidi" w:hAnsiTheme="majorBidi" w:cstheme="majorBidi"/>
          <w:sz w:val="24"/>
          <w:szCs w:val="24"/>
        </w:rPr>
        <w:t>Mircea</w:t>
      </w:r>
      <w:proofErr w:type="spellEnd"/>
      <w:r w:rsidRPr="007D6EED">
        <w:rPr>
          <w:rFonts w:asciiTheme="majorBidi" w:hAnsiTheme="majorBidi" w:cstheme="majorBidi"/>
          <w:sz w:val="24"/>
          <w:szCs w:val="24"/>
        </w:rPr>
        <w:t xml:space="preserve"> </w:t>
      </w:r>
      <w:proofErr w:type="spellStart"/>
      <w:r w:rsidRPr="007D6EED">
        <w:rPr>
          <w:rFonts w:asciiTheme="majorBidi" w:hAnsiTheme="majorBidi" w:cstheme="majorBidi"/>
          <w:sz w:val="24"/>
          <w:szCs w:val="24"/>
        </w:rPr>
        <w:t>Eliade</w:t>
      </w:r>
      <w:proofErr w:type="spellEnd"/>
      <w:r w:rsidRPr="007D6EED">
        <w:rPr>
          <w:rFonts w:asciiTheme="majorBidi" w:hAnsiTheme="majorBidi" w:cstheme="majorBidi"/>
          <w:sz w:val="24"/>
          <w:szCs w:val="24"/>
        </w:rPr>
        <w:t xml:space="preserve"> ed. </w:t>
      </w:r>
      <w:r w:rsidRPr="007D6EED">
        <w:rPr>
          <w:rFonts w:asciiTheme="majorBidi" w:hAnsiTheme="majorBidi" w:cstheme="majorBidi"/>
          <w:i/>
          <w:iCs/>
          <w:sz w:val="24"/>
          <w:szCs w:val="24"/>
        </w:rPr>
        <w:t xml:space="preserve">Encyclopedia of Religion, </w:t>
      </w:r>
      <w:r w:rsidRPr="007D6EED">
        <w:rPr>
          <w:rFonts w:asciiTheme="majorBidi" w:hAnsiTheme="majorBidi" w:cstheme="majorBidi"/>
          <w:sz w:val="24"/>
          <w:szCs w:val="24"/>
        </w:rPr>
        <w:t>vol. 3, New York- London: Macmillan Publishing Company, 1987, pp.348-362</w:t>
      </w:r>
      <w:r>
        <w:rPr>
          <w:rFonts w:asciiTheme="majorBidi" w:hAnsiTheme="majorBidi" w:cstheme="majorBidi" w:hint="cs"/>
          <w:sz w:val="24"/>
          <w:szCs w:val="24"/>
          <w:rtl/>
        </w:rPr>
        <w:t>.</w:t>
      </w:r>
    </w:p>
    <w:p w:rsidR="007D7341" w:rsidRPr="008F62D5" w:rsidRDefault="007D7341" w:rsidP="007D7341">
      <w:pPr>
        <w:rPr>
          <w:rFonts w:asciiTheme="majorBidi" w:hAnsiTheme="majorBidi" w:cstheme="majorBidi"/>
          <w:b/>
          <w:bCs/>
          <w:sz w:val="24"/>
          <w:szCs w:val="24"/>
          <w:rtl/>
          <w:lang w:val="es-MX"/>
        </w:rPr>
      </w:pPr>
    </w:p>
    <w:p w:rsidR="007D7341" w:rsidRPr="008F62D5" w:rsidRDefault="007D7341" w:rsidP="007D7341">
      <w:pPr>
        <w:rPr>
          <w:rFonts w:asciiTheme="majorBidi" w:hAnsiTheme="majorBidi" w:cstheme="majorBidi"/>
          <w:b/>
          <w:bCs/>
          <w:sz w:val="24"/>
          <w:szCs w:val="24"/>
          <w:rtl/>
          <w:lang w:val="es-ES"/>
        </w:rPr>
      </w:pPr>
      <w:r w:rsidRPr="008F62D5">
        <w:rPr>
          <w:rFonts w:asciiTheme="majorBidi" w:hAnsiTheme="majorBidi" w:cstheme="majorBidi"/>
          <w:b/>
          <w:bCs/>
          <w:sz w:val="24"/>
          <w:szCs w:val="24"/>
          <w:rtl/>
          <w:lang w:val="es-MX"/>
        </w:rPr>
        <w:t>2 היסטוריה כנסייתית והיסטוריה של הנצרות</w:t>
      </w:r>
      <w:r w:rsidRPr="008F62D5">
        <w:rPr>
          <w:rFonts w:asciiTheme="majorBidi" w:hAnsiTheme="majorBidi" w:cstheme="majorBidi"/>
          <w:b/>
          <w:bCs/>
          <w:sz w:val="24"/>
          <w:szCs w:val="24"/>
          <w:lang w:val="es-MX"/>
        </w:rPr>
        <w:t xml:space="preserve"> </w:t>
      </w:r>
      <w:r w:rsidRPr="008F62D5">
        <w:rPr>
          <w:rFonts w:asciiTheme="majorBidi" w:hAnsiTheme="majorBidi" w:cstheme="majorBidi"/>
          <w:b/>
          <w:bCs/>
          <w:sz w:val="24"/>
          <w:szCs w:val="24"/>
          <w:rtl/>
          <w:lang w:val="es-ES"/>
        </w:rPr>
        <w:t xml:space="preserve"> במזר</w:t>
      </w:r>
      <w:bookmarkStart w:id="0" w:name="_GoBack"/>
      <w:bookmarkEnd w:id="0"/>
      <w:r w:rsidRPr="008F62D5">
        <w:rPr>
          <w:rFonts w:asciiTheme="majorBidi" w:hAnsiTheme="majorBidi" w:cstheme="majorBidi"/>
          <w:b/>
          <w:bCs/>
          <w:sz w:val="24"/>
          <w:szCs w:val="24"/>
          <w:rtl/>
          <w:lang w:val="es-ES"/>
        </w:rPr>
        <w:t>ח התיכון</w:t>
      </w:r>
    </w:p>
    <w:p w:rsidR="007D7341" w:rsidRPr="007D6EED" w:rsidRDefault="007D7341" w:rsidP="007D7341">
      <w:pPr>
        <w:rPr>
          <w:rFonts w:asciiTheme="majorBidi" w:hAnsiTheme="majorBidi" w:cstheme="majorBidi"/>
          <w:sz w:val="24"/>
          <w:szCs w:val="24"/>
          <w:rtl/>
          <w:lang w:val="es-ES"/>
        </w:rPr>
      </w:pPr>
    </w:p>
    <w:p w:rsidR="007D7341" w:rsidRPr="007D6EED" w:rsidRDefault="007D7341" w:rsidP="007D7341">
      <w:pPr>
        <w:bidi w:val="0"/>
        <w:rPr>
          <w:rFonts w:asciiTheme="majorBidi" w:hAnsiTheme="majorBidi" w:cstheme="majorBidi"/>
          <w:sz w:val="24"/>
          <w:szCs w:val="24"/>
          <w:rtl/>
        </w:rPr>
      </w:pPr>
      <w:r w:rsidRPr="007D6EED">
        <w:rPr>
          <w:rFonts w:asciiTheme="majorBidi" w:hAnsiTheme="majorBidi" w:cstheme="majorBidi"/>
          <w:sz w:val="24"/>
          <w:szCs w:val="24"/>
        </w:rPr>
        <w:t xml:space="preserve">Kenneth </w:t>
      </w:r>
      <w:proofErr w:type="spellStart"/>
      <w:r w:rsidRPr="007D6EED">
        <w:rPr>
          <w:rFonts w:asciiTheme="majorBidi" w:hAnsiTheme="majorBidi" w:cstheme="majorBidi"/>
          <w:sz w:val="24"/>
          <w:szCs w:val="24"/>
        </w:rPr>
        <w:t>Cragg</w:t>
      </w:r>
      <w:proofErr w:type="spellEnd"/>
      <w:r w:rsidRPr="007D6EED">
        <w:rPr>
          <w:rFonts w:asciiTheme="majorBidi" w:hAnsiTheme="majorBidi" w:cstheme="majorBidi"/>
          <w:sz w:val="24"/>
          <w:szCs w:val="24"/>
        </w:rPr>
        <w:t xml:space="preserve">, “Christianity in the Middle East” in </w:t>
      </w:r>
      <w:proofErr w:type="spellStart"/>
      <w:r w:rsidRPr="007D6EED">
        <w:rPr>
          <w:rFonts w:asciiTheme="majorBidi" w:hAnsiTheme="majorBidi" w:cstheme="majorBidi"/>
          <w:sz w:val="24"/>
          <w:szCs w:val="24"/>
        </w:rPr>
        <w:t>Mircea</w:t>
      </w:r>
      <w:proofErr w:type="spellEnd"/>
      <w:r w:rsidRPr="007D6EED">
        <w:rPr>
          <w:rFonts w:asciiTheme="majorBidi" w:hAnsiTheme="majorBidi" w:cstheme="majorBidi"/>
          <w:sz w:val="24"/>
          <w:szCs w:val="24"/>
        </w:rPr>
        <w:t xml:space="preserve"> </w:t>
      </w:r>
      <w:proofErr w:type="spellStart"/>
      <w:r w:rsidRPr="007D6EED">
        <w:rPr>
          <w:rFonts w:asciiTheme="majorBidi" w:hAnsiTheme="majorBidi" w:cstheme="majorBidi"/>
          <w:sz w:val="24"/>
          <w:szCs w:val="24"/>
        </w:rPr>
        <w:t>Eliade</w:t>
      </w:r>
      <w:proofErr w:type="spellEnd"/>
      <w:r w:rsidRPr="007D6EED">
        <w:rPr>
          <w:rFonts w:asciiTheme="majorBidi" w:hAnsiTheme="majorBidi" w:cstheme="majorBidi"/>
          <w:sz w:val="24"/>
          <w:szCs w:val="24"/>
        </w:rPr>
        <w:t xml:space="preserve"> ed. </w:t>
      </w:r>
      <w:r w:rsidRPr="007D6EED">
        <w:rPr>
          <w:rFonts w:asciiTheme="majorBidi" w:hAnsiTheme="majorBidi" w:cstheme="majorBidi"/>
          <w:i/>
          <w:iCs/>
          <w:sz w:val="24"/>
          <w:szCs w:val="24"/>
        </w:rPr>
        <w:t xml:space="preserve">Encyclopedia of Religion, </w:t>
      </w:r>
      <w:r w:rsidRPr="007D6EED">
        <w:rPr>
          <w:rFonts w:asciiTheme="majorBidi" w:hAnsiTheme="majorBidi" w:cstheme="majorBidi"/>
          <w:sz w:val="24"/>
          <w:szCs w:val="24"/>
        </w:rPr>
        <w:t>vol. 3, New York- London: Macmillan Publishing Company, 1987, pp. 362-368.</w:t>
      </w:r>
    </w:p>
    <w:p w:rsidR="007D7341" w:rsidRPr="008F62D5" w:rsidRDefault="007D7341" w:rsidP="007D7341">
      <w:pPr>
        <w:rPr>
          <w:rFonts w:asciiTheme="majorBidi" w:hAnsiTheme="majorBidi" w:cstheme="majorBidi"/>
          <w:b/>
          <w:bCs/>
          <w:sz w:val="24"/>
          <w:szCs w:val="24"/>
        </w:rPr>
      </w:pPr>
    </w:p>
    <w:p w:rsidR="007D7341" w:rsidRPr="008F62D5" w:rsidRDefault="007D7341" w:rsidP="007D7341">
      <w:pPr>
        <w:rPr>
          <w:rFonts w:asciiTheme="majorBidi" w:hAnsiTheme="majorBidi" w:cstheme="majorBidi"/>
          <w:b/>
          <w:bCs/>
          <w:sz w:val="24"/>
          <w:szCs w:val="24"/>
          <w:rtl/>
        </w:rPr>
      </w:pPr>
    </w:p>
    <w:p w:rsidR="007D7341" w:rsidRPr="008F62D5" w:rsidRDefault="007D7341" w:rsidP="007D7341">
      <w:pPr>
        <w:rPr>
          <w:rFonts w:asciiTheme="majorBidi" w:hAnsiTheme="majorBidi" w:cstheme="majorBidi"/>
          <w:b/>
          <w:bCs/>
          <w:sz w:val="24"/>
          <w:szCs w:val="24"/>
          <w:rtl/>
        </w:rPr>
      </w:pPr>
      <w:r w:rsidRPr="008F62D5">
        <w:rPr>
          <w:rFonts w:asciiTheme="majorBidi" w:hAnsiTheme="majorBidi" w:cstheme="majorBidi"/>
          <w:b/>
          <w:bCs/>
          <w:sz w:val="24"/>
          <w:szCs w:val="24"/>
        </w:rPr>
        <w:t>3</w:t>
      </w:r>
      <w:r w:rsidRPr="008F62D5">
        <w:rPr>
          <w:rFonts w:asciiTheme="majorBidi" w:hAnsiTheme="majorBidi" w:cstheme="majorBidi"/>
          <w:b/>
          <w:bCs/>
          <w:sz w:val="24"/>
          <w:szCs w:val="24"/>
          <w:rtl/>
        </w:rPr>
        <w:t>. נצרות אפריקאית בעת העתיקה</w:t>
      </w:r>
    </w:p>
    <w:p w:rsidR="007D7341" w:rsidRPr="007D6EED" w:rsidRDefault="007D7341" w:rsidP="007D7341">
      <w:pPr>
        <w:bidi w:val="0"/>
        <w:rPr>
          <w:rFonts w:asciiTheme="majorBidi" w:hAnsiTheme="majorBidi" w:cstheme="majorBidi"/>
          <w:sz w:val="24"/>
          <w:szCs w:val="24"/>
        </w:rPr>
      </w:pPr>
      <w:r w:rsidRPr="007D6EED">
        <w:rPr>
          <w:rFonts w:asciiTheme="majorBidi" w:hAnsiTheme="majorBidi" w:cstheme="majorBidi"/>
          <w:sz w:val="24"/>
          <w:szCs w:val="24"/>
        </w:rPr>
        <w:t xml:space="preserve">David L. </w:t>
      </w:r>
      <w:proofErr w:type="spellStart"/>
      <w:r w:rsidRPr="007D6EED">
        <w:rPr>
          <w:rFonts w:asciiTheme="majorBidi" w:hAnsiTheme="majorBidi" w:cstheme="majorBidi"/>
          <w:sz w:val="24"/>
          <w:szCs w:val="24"/>
        </w:rPr>
        <w:t>Wilhite</w:t>
      </w:r>
      <w:proofErr w:type="spellEnd"/>
      <w:r w:rsidRPr="007D6EED">
        <w:rPr>
          <w:rFonts w:asciiTheme="majorBidi" w:hAnsiTheme="majorBidi" w:cstheme="majorBidi"/>
          <w:sz w:val="24"/>
          <w:szCs w:val="24"/>
        </w:rPr>
        <w:t xml:space="preserve">, </w:t>
      </w:r>
      <w:r w:rsidRPr="007D6EED">
        <w:rPr>
          <w:rFonts w:asciiTheme="majorBidi" w:hAnsiTheme="majorBidi" w:cstheme="majorBidi"/>
          <w:i/>
          <w:iCs/>
          <w:sz w:val="24"/>
          <w:szCs w:val="24"/>
        </w:rPr>
        <w:t xml:space="preserve">Ancient African Christianity, </w:t>
      </w:r>
      <w:r w:rsidRPr="007D6EED">
        <w:rPr>
          <w:rFonts w:asciiTheme="majorBidi" w:hAnsiTheme="majorBidi" w:cstheme="majorBidi"/>
          <w:sz w:val="24"/>
          <w:szCs w:val="24"/>
        </w:rPr>
        <w:t>London and New York: Routledge, 2017, pp.1-44</w:t>
      </w:r>
      <w:r w:rsidRPr="007D6EED">
        <w:rPr>
          <w:rFonts w:asciiTheme="majorBidi" w:hAnsiTheme="majorBidi" w:cstheme="majorBidi"/>
          <w:sz w:val="24"/>
          <w:szCs w:val="24"/>
          <w:rtl/>
        </w:rPr>
        <w:t>.</w:t>
      </w:r>
    </w:p>
    <w:p w:rsidR="007D7341" w:rsidRPr="008F62D5" w:rsidRDefault="007D7341" w:rsidP="007D7341">
      <w:pPr>
        <w:bidi w:val="0"/>
        <w:rPr>
          <w:rFonts w:asciiTheme="majorBidi" w:hAnsiTheme="majorBidi" w:cstheme="majorBidi"/>
          <w:b/>
          <w:bCs/>
          <w:sz w:val="24"/>
          <w:szCs w:val="24"/>
          <w:rtl/>
        </w:rPr>
      </w:pPr>
    </w:p>
    <w:p w:rsidR="007D7341" w:rsidRPr="007D6EED" w:rsidRDefault="007D7341" w:rsidP="007D7341">
      <w:pPr>
        <w:rPr>
          <w:rFonts w:asciiTheme="majorBidi" w:hAnsiTheme="majorBidi" w:cstheme="majorBidi"/>
          <w:sz w:val="24"/>
          <w:szCs w:val="24"/>
          <w:rtl/>
          <w:lang w:val="es-MX"/>
        </w:rPr>
      </w:pPr>
      <w:r w:rsidRPr="008F62D5">
        <w:rPr>
          <w:rFonts w:asciiTheme="majorBidi" w:hAnsiTheme="majorBidi" w:cstheme="majorBidi"/>
          <w:b/>
          <w:bCs/>
          <w:sz w:val="24"/>
          <w:szCs w:val="24"/>
        </w:rPr>
        <w:t>4</w:t>
      </w:r>
      <w:r w:rsidRPr="008F62D5">
        <w:rPr>
          <w:rFonts w:asciiTheme="majorBidi" w:hAnsiTheme="majorBidi" w:cstheme="majorBidi"/>
          <w:b/>
          <w:bCs/>
          <w:sz w:val="24"/>
          <w:szCs w:val="24"/>
          <w:rtl/>
          <w:lang w:val="es-MX"/>
        </w:rPr>
        <w:t xml:space="preserve"> אפסוס וקאלקדון: מקורות הפילוג בין הנצרות המזרחית והמערב</w:t>
      </w:r>
      <w:r w:rsidRPr="007D6EED">
        <w:rPr>
          <w:rFonts w:asciiTheme="majorBidi" w:hAnsiTheme="majorBidi" w:cstheme="majorBidi"/>
          <w:sz w:val="24"/>
          <w:szCs w:val="24"/>
          <w:rtl/>
          <w:lang w:val="es-MX"/>
        </w:rPr>
        <w:t>.</w:t>
      </w:r>
    </w:p>
    <w:p w:rsidR="007D7341" w:rsidRPr="007D6EED" w:rsidRDefault="007D7341" w:rsidP="007D7341">
      <w:pPr>
        <w:bidi w:val="0"/>
        <w:rPr>
          <w:rFonts w:asciiTheme="majorBidi" w:hAnsiTheme="majorBidi" w:cstheme="majorBidi"/>
          <w:sz w:val="24"/>
          <w:szCs w:val="24"/>
        </w:rPr>
      </w:pPr>
      <w:r w:rsidRPr="007D6EED">
        <w:rPr>
          <w:rFonts w:asciiTheme="majorBidi" w:hAnsiTheme="majorBidi" w:cstheme="majorBidi"/>
          <w:sz w:val="24"/>
          <w:szCs w:val="24"/>
        </w:rPr>
        <w:t xml:space="preserve">Paul </w:t>
      </w:r>
      <w:proofErr w:type="spellStart"/>
      <w:r w:rsidRPr="007D6EED">
        <w:rPr>
          <w:rFonts w:asciiTheme="majorBidi" w:hAnsiTheme="majorBidi" w:cstheme="majorBidi"/>
          <w:sz w:val="24"/>
          <w:szCs w:val="24"/>
        </w:rPr>
        <w:t>Valliere</w:t>
      </w:r>
      <w:proofErr w:type="spellEnd"/>
      <w:r w:rsidRPr="007D6EED">
        <w:rPr>
          <w:rFonts w:asciiTheme="majorBidi" w:hAnsiTheme="majorBidi" w:cstheme="majorBidi"/>
          <w:sz w:val="24"/>
          <w:szCs w:val="24"/>
        </w:rPr>
        <w:t xml:space="preserve">, </w:t>
      </w:r>
      <w:proofErr w:type="spellStart"/>
      <w:r w:rsidRPr="007D6EED">
        <w:rPr>
          <w:rFonts w:asciiTheme="majorBidi" w:hAnsiTheme="majorBidi" w:cstheme="majorBidi"/>
          <w:i/>
          <w:iCs/>
          <w:sz w:val="24"/>
          <w:szCs w:val="24"/>
        </w:rPr>
        <w:t>Conciliarism</w:t>
      </w:r>
      <w:proofErr w:type="spellEnd"/>
      <w:r w:rsidRPr="007D6EED">
        <w:rPr>
          <w:rFonts w:asciiTheme="majorBidi" w:hAnsiTheme="majorBidi" w:cstheme="majorBidi"/>
          <w:i/>
          <w:iCs/>
          <w:sz w:val="24"/>
          <w:szCs w:val="24"/>
        </w:rPr>
        <w:t>. A History of Decision-Making in the Church</w:t>
      </w:r>
      <w:r w:rsidRPr="007D6EED">
        <w:rPr>
          <w:rFonts w:asciiTheme="majorBidi" w:hAnsiTheme="majorBidi" w:cstheme="majorBidi"/>
          <w:sz w:val="24"/>
          <w:szCs w:val="24"/>
        </w:rPr>
        <w:t>, Cambridge, 2011, 49-104.</w:t>
      </w:r>
    </w:p>
    <w:p w:rsidR="007D7341" w:rsidRPr="008F62D5" w:rsidRDefault="007D7341" w:rsidP="007D7341">
      <w:pPr>
        <w:bidi w:val="0"/>
        <w:rPr>
          <w:rFonts w:asciiTheme="majorBidi" w:hAnsiTheme="majorBidi" w:cstheme="majorBidi"/>
          <w:b/>
          <w:bCs/>
          <w:sz w:val="24"/>
          <w:szCs w:val="24"/>
          <w:rtl/>
        </w:rPr>
      </w:pPr>
    </w:p>
    <w:p w:rsidR="007D7341" w:rsidRPr="008F62D5" w:rsidRDefault="007D7341" w:rsidP="007D7341">
      <w:pPr>
        <w:rPr>
          <w:rFonts w:asciiTheme="majorBidi" w:hAnsiTheme="majorBidi" w:cstheme="majorBidi"/>
          <w:b/>
          <w:bCs/>
          <w:sz w:val="24"/>
          <w:szCs w:val="24"/>
          <w:rtl/>
          <w:lang w:val="es-ES"/>
        </w:rPr>
      </w:pPr>
      <w:r w:rsidRPr="008F62D5">
        <w:rPr>
          <w:rFonts w:asciiTheme="majorBidi" w:hAnsiTheme="majorBidi" w:cstheme="majorBidi"/>
          <w:b/>
          <w:bCs/>
          <w:sz w:val="24"/>
          <w:szCs w:val="24"/>
          <w:rtl/>
        </w:rPr>
        <w:t>5.</w:t>
      </w:r>
      <w:r w:rsidRPr="008F62D5">
        <w:rPr>
          <w:rFonts w:asciiTheme="majorBidi" w:hAnsiTheme="majorBidi" w:cstheme="majorBidi"/>
          <w:b/>
          <w:bCs/>
          <w:sz w:val="24"/>
          <w:szCs w:val="24"/>
        </w:rPr>
        <w:t xml:space="preserve"> </w:t>
      </w:r>
      <w:r w:rsidRPr="008F62D5">
        <w:rPr>
          <w:rFonts w:asciiTheme="majorBidi" w:hAnsiTheme="majorBidi" w:cstheme="majorBidi"/>
          <w:b/>
          <w:bCs/>
          <w:sz w:val="24"/>
          <w:szCs w:val="24"/>
          <w:rtl/>
          <w:lang w:val="es-ES"/>
        </w:rPr>
        <w:t>הנצרות הקופטית עד כיבוש האסלאם</w:t>
      </w:r>
    </w:p>
    <w:p w:rsidR="007D7341" w:rsidRPr="007D6EED" w:rsidRDefault="007D7341" w:rsidP="007D7341">
      <w:pPr>
        <w:bidi w:val="0"/>
        <w:rPr>
          <w:rFonts w:asciiTheme="majorBidi" w:hAnsiTheme="majorBidi" w:cstheme="majorBidi"/>
          <w:sz w:val="24"/>
          <w:szCs w:val="24"/>
          <w:rtl/>
        </w:rPr>
      </w:pPr>
      <w:r w:rsidRPr="007D6EED">
        <w:rPr>
          <w:rFonts w:asciiTheme="majorBidi" w:hAnsiTheme="majorBidi" w:cstheme="majorBidi"/>
          <w:sz w:val="24"/>
          <w:szCs w:val="24"/>
        </w:rPr>
        <w:lastRenderedPageBreak/>
        <w:t xml:space="preserve">C. </w:t>
      </w:r>
      <w:proofErr w:type="spellStart"/>
      <w:r w:rsidRPr="007D6EED">
        <w:rPr>
          <w:rFonts w:asciiTheme="majorBidi" w:hAnsiTheme="majorBidi" w:cstheme="majorBidi"/>
          <w:sz w:val="24"/>
          <w:szCs w:val="24"/>
        </w:rPr>
        <w:t>Wifred</w:t>
      </w:r>
      <w:proofErr w:type="spellEnd"/>
      <w:r w:rsidRPr="007D6EED">
        <w:rPr>
          <w:rFonts w:asciiTheme="majorBidi" w:hAnsiTheme="majorBidi" w:cstheme="majorBidi"/>
          <w:sz w:val="24"/>
          <w:szCs w:val="24"/>
        </w:rPr>
        <w:t xml:space="preserve"> Griggs, </w:t>
      </w:r>
      <w:r w:rsidRPr="007D6EED">
        <w:rPr>
          <w:rFonts w:asciiTheme="majorBidi" w:hAnsiTheme="majorBidi" w:cstheme="majorBidi"/>
          <w:i/>
          <w:iCs/>
          <w:sz w:val="24"/>
          <w:szCs w:val="24"/>
        </w:rPr>
        <w:t xml:space="preserve">Early Egyptian Christianity, </w:t>
      </w:r>
      <w:r w:rsidRPr="007D6EED">
        <w:rPr>
          <w:rFonts w:asciiTheme="majorBidi" w:hAnsiTheme="majorBidi" w:cstheme="majorBidi"/>
          <w:sz w:val="24"/>
          <w:szCs w:val="24"/>
        </w:rPr>
        <w:t>Leiden, 1990, 171-228.</w:t>
      </w:r>
    </w:p>
    <w:p w:rsidR="007D7341" w:rsidRPr="008F62D5" w:rsidRDefault="007D7341" w:rsidP="007D7341">
      <w:pPr>
        <w:rPr>
          <w:rFonts w:asciiTheme="majorBidi" w:hAnsiTheme="majorBidi" w:cstheme="majorBidi"/>
          <w:b/>
          <w:bCs/>
          <w:sz w:val="24"/>
          <w:szCs w:val="24"/>
          <w:rtl/>
          <w:lang w:val="es-ES"/>
        </w:rPr>
      </w:pPr>
    </w:p>
    <w:p w:rsidR="007D7341" w:rsidRPr="008F62D5" w:rsidRDefault="007D7341" w:rsidP="007D7341">
      <w:pPr>
        <w:rPr>
          <w:rFonts w:asciiTheme="majorBidi" w:hAnsiTheme="majorBidi" w:cstheme="majorBidi"/>
          <w:b/>
          <w:bCs/>
          <w:sz w:val="24"/>
          <w:szCs w:val="24"/>
          <w:rtl/>
          <w:lang w:val="es-ES"/>
        </w:rPr>
      </w:pPr>
      <w:r w:rsidRPr="008F62D5">
        <w:rPr>
          <w:rFonts w:asciiTheme="majorBidi" w:hAnsiTheme="majorBidi" w:cstheme="majorBidi"/>
          <w:b/>
          <w:bCs/>
          <w:sz w:val="24"/>
          <w:szCs w:val="24"/>
          <w:rtl/>
          <w:lang w:val="es-ES"/>
        </w:rPr>
        <w:t>6. התנצרותה של אתיופיה</w:t>
      </w:r>
    </w:p>
    <w:p w:rsidR="007D7341" w:rsidRPr="007D6EED" w:rsidRDefault="007D7341" w:rsidP="007D7341">
      <w:pPr>
        <w:bidi w:val="0"/>
        <w:rPr>
          <w:rFonts w:asciiTheme="majorBidi" w:hAnsiTheme="majorBidi" w:cstheme="majorBidi"/>
          <w:sz w:val="24"/>
          <w:szCs w:val="24"/>
          <w:rtl/>
        </w:rPr>
      </w:pPr>
      <w:r w:rsidRPr="007D6EED">
        <w:rPr>
          <w:rFonts w:asciiTheme="majorBidi" w:hAnsiTheme="majorBidi" w:cstheme="majorBidi"/>
          <w:sz w:val="24"/>
          <w:szCs w:val="24"/>
        </w:rPr>
        <w:t xml:space="preserve">Stuart Munro-Hay, "Saintly Shadows," in Alessandro </w:t>
      </w:r>
      <w:proofErr w:type="spellStart"/>
      <w:r w:rsidRPr="007D6EED">
        <w:rPr>
          <w:rFonts w:asciiTheme="majorBidi" w:hAnsiTheme="majorBidi" w:cstheme="majorBidi"/>
          <w:sz w:val="24"/>
          <w:szCs w:val="24"/>
        </w:rPr>
        <w:t>Bausi</w:t>
      </w:r>
      <w:proofErr w:type="spellEnd"/>
      <w:r w:rsidRPr="007D6EED">
        <w:rPr>
          <w:rFonts w:asciiTheme="majorBidi" w:hAnsiTheme="majorBidi" w:cstheme="majorBidi"/>
          <w:sz w:val="24"/>
          <w:szCs w:val="24"/>
        </w:rPr>
        <w:t xml:space="preserve"> (ed.), </w:t>
      </w:r>
      <w:r w:rsidRPr="007D6EED">
        <w:rPr>
          <w:rFonts w:asciiTheme="majorBidi" w:hAnsiTheme="majorBidi" w:cstheme="majorBidi"/>
          <w:i/>
          <w:iCs/>
          <w:sz w:val="24"/>
          <w:szCs w:val="24"/>
        </w:rPr>
        <w:t>Languages and Cultures of Eastern Christianity: Ethiopian,</w:t>
      </w:r>
      <w:r w:rsidRPr="007D6EED">
        <w:rPr>
          <w:rFonts w:asciiTheme="majorBidi" w:hAnsiTheme="majorBidi" w:cstheme="majorBidi"/>
          <w:sz w:val="24"/>
          <w:szCs w:val="24"/>
        </w:rPr>
        <w:t xml:space="preserve"> Routledge, 2012, 137-168.</w:t>
      </w:r>
    </w:p>
    <w:p w:rsidR="007D7341" w:rsidRPr="008F62D5" w:rsidRDefault="007D7341" w:rsidP="007D7341">
      <w:pPr>
        <w:rPr>
          <w:rFonts w:asciiTheme="majorBidi" w:hAnsiTheme="majorBidi" w:cstheme="majorBidi"/>
          <w:b/>
          <w:bCs/>
          <w:sz w:val="24"/>
          <w:szCs w:val="24"/>
          <w:rtl/>
          <w:lang w:val="es-ES"/>
        </w:rPr>
      </w:pPr>
    </w:p>
    <w:p w:rsidR="007D7341" w:rsidRPr="008F62D5" w:rsidRDefault="007D7341" w:rsidP="007D7341">
      <w:pPr>
        <w:rPr>
          <w:rFonts w:asciiTheme="majorBidi" w:hAnsiTheme="majorBidi" w:cstheme="majorBidi"/>
          <w:b/>
          <w:bCs/>
          <w:sz w:val="24"/>
          <w:szCs w:val="24"/>
          <w:rtl/>
          <w:lang w:val="es-ES"/>
        </w:rPr>
      </w:pPr>
      <w:r w:rsidRPr="008F62D5">
        <w:rPr>
          <w:rFonts w:asciiTheme="majorBidi" w:hAnsiTheme="majorBidi" w:cstheme="majorBidi"/>
          <w:b/>
          <w:bCs/>
          <w:sz w:val="24"/>
          <w:szCs w:val="24"/>
          <w:rtl/>
          <w:lang w:val="es-ES"/>
        </w:rPr>
        <w:t>7. הנצרות הסורית יעקוביתית והנצרות הנסטוריאנית עד כיבוש האסלאם.</w:t>
      </w:r>
    </w:p>
    <w:p w:rsidR="007D7341" w:rsidRPr="007D6EED" w:rsidRDefault="007D7341" w:rsidP="007D7341">
      <w:pPr>
        <w:bidi w:val="0"/>
        <w:rPr>
          <w:rFonts w:asciiTheme="majorBidi" w:hAnsiTheme="majorBidi" w:cstheme="majorBidi"/>
          <w:sz w:val="24"/>
          <w:szCs w:val="24"/>
        </w:rPr>
      </w:pPr>
      <w:r w:rsidRPr="007D6EED">
        <w:rPr>
          <w:rFonts w:asciiTheme="majorBidi" w:hAnsiTheme="majorBidi" w:cstheme="majorBidi"/>
          <w:sz w:val="24"/>
          <w:szCs w:val="24"/>
        </w:rPr>
        <w:t xml:space="preserve">Sebastian Brock, "Christians in the Sasanian Empire: A Case of Divided Loyalties," in Brock, </w:t>
      </w:r>
      <w:proofErr w:type="spellStart"/>
      <w:r w:rsidRPr="007D6EED">
        <w:rPr>
          <w:rFonts w:asciiTheme="majorBidi" w:hAnsiTheme="majorBidi" w:cstheme="majorBidi"/>
          <w:i/>
          <w:iCs/>
          <w:sz w:val="24"/>
          <w:szCs w:val="24"/>
        </w:rPr>
        <w:t>Syriac</w:t>
      </w:r>
      <w:proofErr w:type="spellEnd"/>
      <w:r w:rsidRPr="007D6EED">
        <w:rPr>
          <w:rFonts w:asciiTheme="majorBidi" w:hAnsiTheme="majorBidi" w:cstheme="majorBidi"/>
          <w:i/>
          <w:iCs/>
          <w:sz w:val="24"/>
          <w:szCs w:val="24"/>
        </w:rPr>
        <w:t xml:space="preserve"> Perspectives on Late Antiquity. </w:t>
      </w:r>
      <w:r w:rsidRPr="007D6EED">
        <w:rPr>
          <w:rFonts w:asciiTheme="majorBidi" w:hAnsiTheme="majorBidi" w:cstheme="majorBidi"/>
          <w:sz w:val="24"/>
          <w:szCs w:val="24"/>
        </w:rPr>
        <w:t>London, 1984, 1-19.</w:t>
      </w:r>
    </w:p>
    <w:p w:rsidR="007D7341" w:rsidRPr="007D6EED" w:rsidRDefault="007D7341" w:rsidP="007D7341">
      <w:pPr>
        <w:bidi w:val="0"/>
        <w:rPr>
          <w:rFonts w:asciiTheme="majorBidi" w:hAnsiTheme="majorBidi" w:cstheme="majorBidi"/>
          <w:sz w:val="24"/>
          <w:szCs w:val="24"/>
          <w:rtl/>
        </w:rPr>
      </w:pPr>
      <w:r w:rsidRPr="007D6EED">
        <w:rPr>
          <w:rFonts w:asciiTheme="majorBidi" w:hAnsiTheme="majorBidi" w:cstheme="majorBidi"/>
          <w:sz w:val="24"/>
          <w:szCs w:val="24"/>
        </w:rPr>
        <w:t xml:space="preserve">Aziz </w:t>
      </w:r>
      <w:proofErr w:type="spellStart"/>
      <w:r w:rsidRPr="007D6EED">
        <w:rPr>
          <w:rFonts w:asciiTheme="majorBidi" w:hAnsiTheme="majorBidi" w:cstheme="majorBidi"/>
          <w:sz w:val="24"/>
          <w:szCs w:val="24"/>
        </w:rPr>
        <w:t>Atiya</w:t>
      </w:r>
      <w:proofErr w:type="spellEnd"/>
      <w:r w:rsidRPr="007D6EED">
        <w:rPr>
          <w:rFonts w:asciiTheme="majorBidi" w:hAnsiTheme="majorBidi" w:cstheme="majorBidi"/>
          <w:sz w:val="24"/>
          <w:szCs w:val="24"/>
        </w:rPr>
        <w:t xml:space="preserve">, </w:t>
      </w:r>
      <w:r w:rsidRPr="007D6EED">
        <w:rPr>
          <w:rFonts w:asciiTheme="majorBidi" w:hAnsiTheme="majorBidi" w:cstheme="majorBidi"/>
          <w:i/>
          <w:iCs/>
          <w:sz w:val="24"/>
          <w:szCs w:val="24"/>
        </w:rPr>
        <w:t xml:space="preserve">A History of Eastern Christianity, </w:t>
      </w:r>
      <w:r w:rsidRPr="007D6EED">
        <w:rPr>
          <w:rFonts w:asciiTheme="majorBidi" w:hAnsiTheme="majorBidi" w:cstheme="majorBidi"/>
          <w:sz w:val="24"/>
          <w:szCs w:val="24"/>
        </w:rPr>
        <w:t>London: Methuen &amp; Co Ltd, 1968, pp. 239-256</w:t>
      </w:r>
      <w:r>
        <w:rPr>
          <w:rFonts w:asciiTheme="majorBidi" w:hAnsiTheme="majorBidi" w:cstheme="majorBidi" w:hint="cs"/>
          <w:sz w:val="24"/>
          <w:szCs w:val="24"/>
          <w:rtl/>
        </w:rPr>
        <w:t>.</w:t>
      </w:r>
    </w:p>
    <w:p w:rsidR="007D7341" w:rsidRPr="008F62D5" w:rsidRDefault="007D7341" w:rsidP="007D7341">
      <w:pPr>
        <w:rPr>
          <w:rFonts w:asciiTheme="majorBidi" w:hAnsiTheme="majorBidi" w:cstheme="majorBidi"/>
          <w:b/>
          <w:bCs/>
          <w:sz w:val="24"/>
          <w:szCs w:val="24"/>
          <w:rtl/>
          <w:lang w:val="es-ES"/>
        </w:rPr>
      </w:pPr>
    </w:p>
    <w:p w:rsidR="007D7341" w:rsidRPr="008F62D5" w:rsidRDefault="007D7341" w:rsidP="007D7341">
      <w:pPr>
        <w:rPr>
          <w:rFonts w:asciiTheme="majorBidi" w:hAnsiTheme="majorBidi" w:cstheme="majorBidi"/>
          <w:b/>
          <w:bCs/>
          <w:sz w:val="24"/>
          <w:szCs w:val="24"/>
          <w:lang w:val="es-ES"/>
        </w:rPr>
      </w:pPr>
      <w:r w:rsidRPr="008F62D5">
        <w:rPr>
          <w:rFonts w:asciiTheme="majorBidi" w:hAnsiTheme="majorBidi" w:cstheme="majorBidi"/>
          <w:b/>
          <w:bCs/>
          <w:sz w:val="24"/>
          <w:szCs w:val="24"/>
          <w:rtl/>
          <w:lang w:val="es-ES"/>
        </w:rPr>
        <w:t>8. התנצרותה של ארמניה</w:t>
      </w:r>
    </w:p>
    <w:p w:rsidR="007D7341" w:rsidRPr="007D6EED" w:rsidRDefault="007D7341" w:rsidP="007D7341">
      <w:pPr>
        <w:bidi w:val="0"/>
        <w:rPr>
          <w:rFonts w:asciiTheme="majorBidi" w:hAnsiTheme="majorBidi" w:cstheme="majorBidi"/>
          <w:sz w:val="24"/>
          <w:szCs w:val="24"/>
        </w:rPr>
      </w:pPr>
      <w:r w:rsidRPr="007D6EED">
        <w:rPr>
          <w:rFonts w:asciiTheme="majorBidi" w:hAnsiTheme="majorBidi" w:cstheme="majorBidi"/>
          <w:sz w:val="24"/>
          <w:szCs w:val="24"/>
        </w:rPr>
        <w:t xml:space="preserve">Aziz </w:t>
      </w:r>
      <w:proofErr w:type="spellStart"/>
      <w:r w:rsidRPr="007D6EED">
        <w:rPr>
          <w:rFonts w:asciiTheme="majorBidi" w:hAnsiTheme="majorBidi" w:cstheme="majorBidi"/>
          <w:sz w:val="24"/>
          <w:szCs w:val="24"/>
        </w:rPr>
        <w:t>Atiya</w:t>
      </w:r>
      <w:proofErr w:type="spellEnd"/>
      <w:r w:rsidRPr="007D6EED">
        <w:rPr>
          <w:rFonts w:asciiTheme="majorBidi" w:hAnsiTheme="majorBidi" w:cstheme="majorBidi"/>
          <w:sz w:val="24"/>
          <w:szCs w:val="24"/>
        </w:rPr>
        <w:t xml:space="preserve">, </w:t>
      </w:r>
      <w:r w:rsidRPr="007D6EED">
        <w:rPr>
          <w:rFonts w:asciiTheme="majorBidi" w:hAnsiTheme="majorBidi" w:cstheme="majorBidi"/>
          <w:i/>
          <w:iCs/>
          <w:sz w:val="24"/>
          <w:szCs w:val="24"/>
        </w:rPr>
        <w:t xml:space="preserve">A History of Eastern Christianity, </w:t>
      </w:r>
      <w:r w:rsidRPr="007D6EED">
        <w:rPr>
          <w:rFonts w:asciiTheme="majorBidi" w:hAnsiTheme="majorBidi" w:cstheme="majorBidi"/>
          <w:sz w:val="24"/>
          <w:szCs w:val="24"/>
        </w:rPr>
        <w:t>London: Methuen &amp; Co Ltd, 1968, pp. 303-328</w:t>
      </w:r>
      <w:r>
        <w:rPr>
          <w:rFonts w:asciiTheme="majorBidi" w:hAnsiTheme="majorBidi" w:cstheme="majorBidi" w:hint="cs"/>
          <w:sz w:val="24"/>
          <w:szCs w:val="24"/>
          <w:rtl/>
        </w:rPr>
        <w:t>.</w:t>
      </w:r>
    </w:p>
    <w:p w:rsidR="007D7341" w:rsidRPr="008F62D5" w:rsidRDefault="007D7341" w:rsidP="007D7341">
      <w:pPr>
        <w:rPr>
          <w:rFonts w:asciiTheme="majorBidi" w:hAnsiTheme="majorBidi" w:cstheme="majorBidi"/>
          <w:b/>
          <w:bCs/>
          <w:sz w:val="24"/>
          <w:szCs w:val="24"/>
        </w:rPr>
      </w:pPr>
    </w:p>
    <w:p w:rsidR="007D7341" w:rsidRPr="008F62D5" w:rsidRDefault="007D7341" w:rsidP="007D7341">
      <w:pPr>
        <w:rPr>
          <w:rFonts w:asciiTheme="majorBidi" w:hAnsiTheme="majorBidi" w:cstheme="majorBidi"/>
          <w:b/>
          <w:bCs/>
          <w:sz w:val="24"/>
          <w:szCs w:val="24"/>
          <w:rtl/>
          <w:lang w:val="es-ES"/>
        </w:rPr>
      </w:pPr>
      <w:r w:rsidRPr="008F62D5">
        <w:rPr>
          <w:rFonts w:asciiTheme="majorBidi" w:hAnsiTheme="majorBidi" w:cstheme="majorBidi"/>
          <w:b/>
          <w:bCs/>
          <w:sz w:val="24"/>
          <w:szCs w:val="24"/>
          <w:rtl/>
          <w:lang w:val="es-ES"/>
        </w:rPr>
        <w:t>9. המעמד של הנוצרים תחת האסלאם</w:t>
      </w:r>
    </w:p>
    <w:p w:rsidR="007D7341" w:rsidRPr="008F62D5" w:rsidRDefault="007D7341" w:rsidP="007D7341">
      <w:pPr>
        <w:bidi w:val="0"/>
        <w:rPr>
          <w:rFonts w:asciiTheme="majorBidi" w:hAnsiTheme="majorBidi" w:cstheme="majorBidi"/>
          <w:sz w:val="24"/>
          <w:szCs w:val="24"/>
          <w:rtl/>
        </w:rPr>
      </w:pPr>
      <w:r w:rsidRPr="007D6EED">
        <w:rPr>
          <w:rFonts w:asciiTheme="majorBidi" w:hAnsiTheme="majorBidi" w:cstheme="majorBidi"/>
          <w:sz w:val="24"/>
          <w:szCs w:val="24"/>
          <w:lang w:val="es-ES"/>
        </w:rPr>
        <w:t>Edmund Strauss, "</w:t>
      </w:r>
      <w:proofErr w:type="spellStart"/>
      <w:r w:rsidRPr="007D6EED">
        <w:rPr>
          <w:rFonts w:asciiTheme="majorBidi" w:hAnsiTheme="majorBidi" w:cstheme="majorBidi"/>
          <w:sz w:val="24"/>
          <w:szCs w:val="24"/>
          <w:lang w:val="es-ES"/>
        </w:rPr>
        <w:t>The</w:t>
      </w:r>
      <w:proofErr w:type="spellEnd"/>
      <w:r w:rsidRPr="007D6EED">
        <w:rPr>
          <w:rFonts w:asciiTheme="majorBidi" w:hAnsiTheme="majorBidi" w:cstheme="majorBidi"/>
          <w:sz w:val="24"/>
          <w:szCs w:val="24"/>
          <w:lang w:val="es-ES"/>
        </w:rPr>
        <w:t xml:space="preserve"> Social </w:t>
      </w:r>
      <w:proofErr w:type="spellStart"/>
      <w:r w:rsidRPr="007D6EED">
        <w:rPr>
          <w:rFonts w:asciiTheme="majorBidi" w:hAnsiTheme="majorBidi" w:cstheme="majorBidi"/>
          <w:sz w:val="24"/>
          <w:szCs w:val="24"/>
          <w:lang w:val="es-ES"/>
        </w:rPr>
        <w:t>Isolation</w:t>
      </w:r>
      <w:proofErr w:type="spellEnd"/>
      <w:r w:rsidRPr="007D6EED">
        <w:rPr>
          <w:rFonts w:asciiTheme="majorBidi" w:hAnsiTheme="majorBidi" w:cstheme="majorBidi"/>
          <w:sz w:val="24"/>
          <w:szCs w:val="24"/>
          <w:lang w:val="es-ES"/>
        </w:rPr>
        <w:t xml:space="preserve"> of </w:t>
      </w:r>
      <w:proofErr w:type="spellStart"/>
      <w:r w:rsidRPr="007D6EED">
        <w:rPr>
          <w:rFonts w:asciiTheme="majorBidi" w:hAnsiTheme="majorBidi" w:cstheme="majorBidi"/>
          <w:sz w:val="24"/>
          <w:szCs w:val="24"/>
          <w:lang w:val="es-ES"/>
        </w:rPr>
        <w:t>Ahl</w:t>
      </w:r>
      <w:proofErr w:type="spellEnd"/>
      <w:r w:rsidRPr="007D6EED">
        <w:rPr>
          <w:rFonts w:asciiTheme="majorBidi" w:hAnsiTheme="majorBidi" w:cstheme="majorBidi"/>
          <w:sz w:val="24"/>
          <w:szCs w:val="24"/>
          <w:lang w:val="es-ES"/>
        </w:rPr>
        <w:t xml:space="preserve"> </w:t>
      </w:r>
      <w:proofErr w:type="spellStart"/>
      <w:r w:rsidRPr="007D6EED">
        <w:rPr>
          <w:rFonts w:asciiTheme="majorBidi" w:hAnsiTheme="majorBidi" w:cstheme="majorBidi"/>
          <w:sz w:val="24"/>
          <w:szCs w:val="24"/>
          <w:lang w:val="es-ES"/>
        </w:rPr>
        <w:t>adh-Dhimma</w:t>
      </w:r>
      <w:proofErr w:type="spellEnd"/>
      <w:r w:rsidRPr="007D6EED">
        <w:rPr>
          <w:rFonts w:asciiTheme="majorBidi" w:hAnsiTheme="majorBidi" w:cstheme="majorBidi"/>
          <w:sz w:val="24"/>
          <w:szCs w:val="24"/>
          <w:lang w:val="es-ES"/>
        </w:rPr>
        <w:t xml:space="preserve">," in O. </w:t>
      </w:r>
      <w:proofErr w:type="spellStart"/>
      <w:r w:rsidRPr="007D6EED">
        <w:rPr>
          <w:rFonts w:asciiTheme="majorBidi" w:hAnsiTheme="majorBidi" w:cstheme="majorBidi"/>
          <w:sz w:val="24"/>
          <w:szCs w:val="24"/>
          <w:lang w:val="es-ES"/>
        </w:rPr>
        <w:t>Komlos</w:t>
      </w:r>
      <w:proofErr w:type="spellEnd"/>
      <w:r w:rsidRPr="007D6EED">
        <w:rPr>
          <w:rFonts w:asciiTheme="majorBidi" w:hAnsiTheme="majorBidi" w:cstheme="majorBidi"/>
          <w:sz w:val="24"/>
          <w:szCs w:val="24"/>
          <w:lang w:val="es-ES"/>
        </w:rPr>
        <w:t xml:space="preserve"> (ed.), </w:t>
      </w:r>
      <w:r w:rsidRPr="007D6EED">
        <w:rPr>
          <w:rFonts w:asciiTheme="majorBidi" w:hAnsiTheme="majorBidi" w:cstheme="majorBidi"/>
          <w:i/>
          <w:iCs/>
          <w:sz w:val="24"/>
          <w:szCs w:val="24"/>
        </w:rPr>
        <w:t xml:space="preserve">Etudes </w:t>
      </w:r>
      <w:proofErr w:type="spellStart"/>
      <w:r w:rsidRPr="007D6EED">
        <w:rPr>
          <w:rFonts w:asciiTheme="majorBidi" w:hAnsiTheme="majorBidi" w:cstheme="majorBidi"/>
          <w:i/>
          <w:iCs/>
          <w:sz w:val="24"/>
          <w:szCs w:val="24"/>
        </w:rPr>
        <w:t>Orientales</w:t>
      </w:r>
      <w:proofErr w:type="spellEnd"/>
      <w:r w:rsidRPr="007D6EED">
        <w:rPr>
          <w:rFonts w:asciiTheme="majorBidi" w:hAnsiTheme="majorBidi" w:cstheme="majorBidi"/>
          <w:i/>
          <w:iCs/>
          <w:sz w:val="24"/>
          <w:szCs w:val="24"/>
        </w:rPr>
        <w:t xml:space="preserve"> a la memoire de P. </w:t>
      </w:r>
      <w:proofErr w:type="spellStart"/>
      <w:r w:rsidRPr="007D6EED">
        <w:rPr>
          <w:rFonts w:asciiTheme="majorBidi" w:hAnsiTheme="majorBidi" w:cstheme="majorBidi"/>
          <w:i/>
          <w:iCs/>
          <w:sz w:val="24"/>
          <w:szCs w:val="24"/>
        </w:rPr>
        <w:t>Hirschler</w:t>
      </w:r>
      <w:proofErr w:type="spellEnd"/>
      <w:r w:rsidRPr="007D6EED">
        <w:rPr>
          <w:rFonts w:asciiTheme="majorBidi" w:hAnsiTheme="majorBidi" w:cstheme="majorBidi"/>
          <w:i/>
          <w:iCs/>
          <w:sz w:val="24"/>
          <w:szCs w:val="24"/>
        </w:rPr>
        <w:t>,</w:t>
      </w:r>
      <w:r w:rsidRPr="007D6EED">
        <w:rPr>
          <w:rFonts w:asciiTheme="majorBidi" w:hAnsiTheme="majorBidi" w:cstheme="majorBidi"/>
          <w:sz w:val="24"/>
          <w:szCs w:val="24"/>
        </w:rPr>
        <w:t xml:space="preserve"> Budapest, 1950, 73-94.</w:t>
      </w:r>
    </w:p>
    <w:p w:rsidR="007D7341" w:rsidRPr="008F62D5" w:rsidRDefault="007D7341" w:rsidP="007D7341">
      <w:pPr>
        <w:rPr>
          <w:rFonts w:asciiTheme="majorBidi" w:hAnsiTheme="majorBidi" w:cstheme="majorBidi"/>
          <w:b/>
          <w:bCs/>
          <w:sz w:val="24"/>
          <w:szCs w:val="24"/>
          <w:rtl/>
          <w:lang w:val="es-ES"/>
        </w:rPr>
      </w:pPr>
    </w:p>
    <w:p w:rsidR="007D7341" w:rsidRPr="008F62D5" w:rsidRDefault="007D7341" w:rsidP="007D7341">
      <w:pPr>
        <w:rPr>
          <w:rFonts w:asciiTheme="majorBidi" w:hAnsiTheme="majorBidi" w:cstheme="majorBidi"/>
          <w:b/>
          <w:bCs/>
          <w:sz w:val="24"/>
          <w:szCs w:val="24"/>
          <w:rtl/>
          <w:lang w:val="es-ES"/>
        </w:rPr>
      </w:pPr>
      <w:r w:rsidRPr="008F62D5">
        <w:rPr>
          <w:rFonts w:asciiTheme="majorBidi" w:hAnsiTheme="majorBidi" w:cstheme="majorBidi"/>
          <w:b/>
          <w:bCs/>
          <w:sz w:val="24"/>
          <w:szCs w:val="24"/>
          <w:rtl/>
          <w:lang w:val="es-ES"/>
        </w:rPr>
        <w:t>10. ראשיתה של המיסיון הקתולית באפריקה</w:t>
      </w:r>
    </w:p>
    <w:p w:rsidR="007D7341" w:rsidRPr="007D6EED" w:rsidRDefault="007D7341" w:rsidP="007D7341">
      <w:pPr>
        <w:bidi w:val="0"/>
        <w:rPr>
          <w:rFonts w:asciiTheme="majorBidi" w:hAnsiTheme="majorBidi" w:cstheme="majorBidi"/>
          <w:sz w:val="24"/>
          <w:szCs w:val="24"/>
        </w:rPr>
      </w:pPr>
      <w:r w:rsidRPr="007D6EED">
        <w:rPr>
          <w:rFonts w:asciiTheme="majorBidi" w:hAnsiTheme="majorBidi" w:cstheme="majorBidi"/>
          <w:sz w:val="24"/>
          <w:szCs w:val="24"/>
        </w:rPr>
        <w:t xml:space="preserve">Robert </w:t>
      </w:r>
      <w:proofErr w:type="spellStart"/>
      <w:r w:rsidRPr="007D6EED">
        <w:rPr>
          <w:rFonts w:asciiTheme="majorBidi" w:hAnsiTheme="majorBidi" w:cstheme="majorBidi"/>
          <w:sz w:val="24"/>
          <w:szCs w:val="24"/>
        </w:rPr>
        <w:t>Pietek</w:t>
      </w:r>
      <w:proofErr w:type="spellEnd"/>
      <w:r w:rsidRPr="007D6EED">
        <w:rPr>
          <w:rFonts w:asciiTheme="majorBidi" w:hAnsiTheme="majorBidi" w:cstheme="majorBidi"/>
          <w:sz w:val="24"/>
          <w:szCs w:val="24"/>
        </w:rPr>
        <w:t xml:space="preserve">, “Comments on Christianity, the Church and the State in the Kingdom of </w:t>
      </w:r>
      <w:proofErr w:type="spellStart"/>
      <w:r w:rsidRPr="007D6EED">
        <w:rPr>
          <w:rFonts w:asciiTheme="majorBidi" w:hAnsiTheme="majorBidi" w:cstheme="majorBidi"/>
          <w:sz w:val="24"/>
          <w:szCs w:val="24"/>
        </w:rPr>
        <w:t>Kongo</w:t>
      </w:r>
      <w:proofErr w:type="spellEnd"/>
      <w:r w:rsidRPr="007D6EED">
        <w:rPr>
          <w:rFonts w:asciiTheme="majorBidi" w:hAnsiTheme="majorBidi" w:cstheme="majorBidi"/>
          <w:sz w:val="24"/>
          <w:szCs w:val="24"/>
        </w:rPr>
        <w:t xml:space="preserve">”, </w:t>
      </w:r>
      <w:r w:rsidRPr="007D6EED">
        <w:rPr>
          <w:rFonts w:asciiTheme="majorBidi" w:hAnsiTheme="majorBidi" w:cstheme="majorBidi"/>
          <w:i/>
          <w:iCs/>
          <w:sz w:val="24"/>
          <w:szCs w:val="24"/>
        </w:rPr>
        <w:t xml:space="preserve">Studies of the Department of Languages and Cultures, </w:t>
      </w:r>
      <w:r w:rsidRPr="007D6EED">
        <w:rPr>
          <w:rFonts w:asciiTheme="majorBidi" w:hAnsiTheme="majorBidi" w:cstheme="majorBidi"/>
          <w:sz w:val="24"/>
          <w:szCs w:val="24"/>
        </w:rPr>
        <w:t>45 (2011) 71-86.</w:t>
      </w:r>
    </w:p>
    <w:p w:rsidR="007D7341" w:rsidRPr="008F62D5" w:rsidRDefault="007D7341" w:rsidP="007D7341">
      <w:pPr>
        <w:bidi w:val="0"/>
        <w:rPr>
          <w:rFonts w:asciiTheme="majorBidi" w:hAnsiTheme="majorBidi" w:cstheme="majorBidi"/>
          <w:b/>
          <w:bCs/>
          <w:sz w:val="24"/>
          <w:szCs w:val="24"/>
          <w:rtl/>
        </w:rPr>
      </w:pPr>
    </w:p>
    <w:p w:rsidR="007D7341" w:rsidRPr="008F62D5" w:rsidRDefault="007D7341" w:rsidP="007D7341">
      <w:pPr>
        <w:rPr>
          <w:rFonts w:asciiTheme="majorBidi" w:hAnsiTheme="majorBidi" w:cstheme="majorBidi"/>
          <w:b/>
          <w:bCs/>
          <w:sz w:val="24"/>
          <w:szCs w:val="24"/>
          <w:lang w:val="es-ES"/>
        </w:rPr>
      </w:pPr>
      <w:r w:rsidRPr="008F62D5">
        <w:rPr>
          <w:rFonts w:asciiTheme="majorBidi" w:hAnsiTheme="majorBidi" w:cstheme="majorBidi"/>
          <w:b/>
          <w:bCs/>
          <w:sz w:val="24"/>
          <w:szCs w:val="24"/>
          <w:rtl/>
          <w:lang w:val="es-ES"/>
        </w:rPr>
        <w:t>11. הנצרות באפריקה בראשית העת החדשה</w:t>
      </w:r>
    </w:p>
    <w:p w:rsidR="007D7341" w:rsidRPr="007D6EED" w:rsidRDefault="007D7341" w:rsidP="007D7341">
      <w:pPr>
        <w:bidi w:val="0"/>
        <w:rPr>
          <w:rFonts w:asciiTheme="majorBidi" w:hAnsiTheme="majorBidi" w:cstheme="majorBidi"/>
          <w:sz w:val="24"/>
          <w:szCs w:val="24"/>
          <w:rtl/>
        </w:rPr>
      </w:pPr>
      <w:r w:rsidRPr="007D6EED">
        <w:rPr>
          <w:rFonts w:asciiTheme="majorBidi" w:hAnsiTheme="majorBidi" w:cstheme="majorBidi"/>
          <w:sz w:val="24"/>
          <w:szCs w:val="24"/>
        </w:rPr>
        <w:t xml:space="preserve">Adrian Hastings, </w:t>
      </w:r>
      <w:r w:rsidRPr="007D6EED">
        <w:rPr>
          <w:rFonts w:asciiTheme="majorBidi" w:hAnsiTheme="majorBidi" w:cstheme="majorBidi"/>
          <w:i/>
          <w:iCs/>
          <w:sz w:val="24"/>
          <w:szCs w:val="24"/>
        </w:rPr>
        <w:t xml:space="preserve">Church and Missions in Modern Africa, </w:t>
      </w:r>
      <w:r w:rsidRPr="007D6EED">
        <w:rPr>
          <w:rFonts w:asciiTheme="majorBidi" w:hAnsiTheme="majorBidi" w:cstheme="majorBidi"/>
          <w:sz w:val="24"/>
          <w:szCs w:val="24"/>
        </w:rPr>
        <w:t>New York: Fordham University Press, 1967, pp. 52-101.</w:t>
      </w:r>
    </w:p>
    <w:p w:rsidR="007D7341" w:rsidRPr="007D6EED" w:rsidRDefault="007D7341" w:rsidP="007D7341">
      <w:pPr>
        <w:rPr>
          <w:rFonts w:asciiTheme="majorBidi" w:hAnsiTheme="majorBidi" w:cstheme="majorBidi"/>
          <w:b/>
          <w:bCs/>
          <w:sz w:val="24"/>
          <w:szCs w:val="24"/>
          <w:rtl/>
          <w:lang w:val="es-ES"/>
        </w:rPr>
      </w:pPr>
    </w:p>
    <w:p w:rsidR="007D7341" w:rsidRPr="007D6EED" w:rsidRDefault="007D7341" w:rsidP="007D7341">
      <w:pPr>
        <w:rPr>
          <w:rFonts w:asciiTheme="majorBidi" w:hAnsiTheme="majorBidi" w:cstheme="majorBidi"/>
          <w:b/>
          <w:bCs/>
          <w:sz w:val="24"/>
          <w:szCs w:val="24"/>
          <w:lang w:val="es-ES"/>
        </w:rPr>
      </w:pPr>
      <w:r w:rsidRPr="007D6EED">
        <w:rPr>
          <w:rFonts w:asciiTheme="majorBidi" w:hAnsiTheme="majorBidi" w:cstheme="majorBidi"/>
          <w:b/>
          <w:bCs/>
          <w:sz w:val="24"/>
          <w:szCs w:val="24"/>
          <w:rtl/>
          <w:lang w:val="es-ES"/>
        </w:rPr>
        <w:t>12. נצרות באפריקה בעת החדשה.</w:t>
      </w:r>
    </w:p>
    <w:p w:rsidR="007D7341" w:rsidRPr="007D6EED" w:rsidRDefault="007D7341" w:rsidP="007D7341">
      <w:pPr>
        <w:bidi w:val="0"/>
        <w:rPr>
          <w:rFonts w:asciiTheme="majorBidi" w:hAnsiTheme="majorBidi" w:cstheme="majorBidi"/>
          <w:sz w:val="24"/>
          <w:szCs w:val="24"/>
          <w:rtl/>
        </w:rPr>
      </w:pPr>
      <w:r w:rsidRPr="007D6EED">
        <w:rPr>
          <w:rFonts w:asciiTheme="majorBidi" w:hAnsiTheme="majorBidi" w:cstheme="majorBidi"/>
          <w:sz w:val="24"/>
          <w:szCs w:val="24"/>
        </w:rPr>
        <w:t xml:space="preserve">Adrian Hastings, </w:t>
      </w:r>
      <w:r w:rsidRPr="007D6EED">
        <w:rPr>
          <w:rFonts w:asciiTheme="majorBidi" w:hAnsiTheme="majorBidi" w:cstheme="majorBidi"/>
          <w:i/>
          <w:iCs/>
          <w:sz w:val="24"/>
          <w:szCs w:val="24"/>
        </w:rPr>
        <w:t xml:space="preserve">African Christianity, </w:t>
      </w:r>
      <w:r w:rsidRPr="007D6EED">
        <w:rPr>
          <w:rFonts w:asciiTheme="majorBidi" w:hAnsiTheme="majorBidi" w:cstheme="majorBidi"/>
          <w:sz w:val="24"/>
          <w:szCs w:val="24"/>
        </w:rPr>
        <w:t xml:space="preserve">New York: </w:t>
      </w:r>
      <w:proofErr w:type="gramStart"/>
      <w:r w:rsidRPr="007D6EED">
        <w:rPr>
          <w:rFonts w:asciiTheme="majorBidi" w:hAnsiTheme="majorBidi" w:cstheme="majorBidi"/>
          <w:sz w:val="24"/>
          <w:szCs w:val="24"/>
        </w:rPr>
        <w:t>the</w:t>
      </w:r>
      <w:proofErr w:type="gramEnd"/>
      <w:r w:rsidRPr="007D6EED">
        <w:rPr>
          <w:rFonts w:asciiTheme="majorBidi" w:hAnsiTheme="majorBidi" w:cstheme="majorBidi"/>
          <w:sz w:val="24"/>
          <w:szCs w:val="24"/>
        </w:rPr>
        <w:t xml:space="preserve"> Seabury Press, 1976, p. 1-16</w:t>
      </w:r>
      <w:r w:rsidRPr="007D6EED">
        <w:rPr>
          <w:rFonts w:asciiTheme="majorBidi" w:hAnsiTheme="majorBidi" w:cstheme="majorBidi"/>
          <w:sz w:val="24"/>
          <w:szCs w:val="24"/>
          <w:rtl/>
        </w:rPr>
        <w:t>.</w:t>
      </w:r>
    </w:p>
    <w:p w:rsidR="007D7341" w:rsidRPr="007D6EED" w:rsidRDefault="007D7341" w:rsidP="007D7341">
      <w:pPr>
        <w:bidi w:val="0"/>
        <w:rPr>
          <w:rFonts w:asciiTheme="majorBidi" w:hAnsiTheme="majorBidi" w:cstheme="majorBidi"/>
          <w:sz w:val="24"/>
          <w:szCs w:val="24"/>
          <w:rtl/>
        </w:rPr>
      </w:pPr>
    </w:p>
    <w:p w:rsidR="007D7341" w:rsidRPr="007D6EED" w:rsidRDefault="007D7341" w:rsidP="007D7341">
      <w:pPr>
        <w:rPr>
          <w:rFonts w:asciiTheme="majorBidi" w:hAnsiTheme="majorBidi" w:cstheme="majorBidi"/>
          <w:sz w:val="24"/>
          <w:szCs w:val="24"/>
          <w:rtl/>
          <w:lang w:val="es-ES"/>
        </w:rPr>
      </w:pPr>
      <w:r w:rsidRPr="007D6EED">
        <w:rPr>
          <w:rFonts w:asciiTheme="majorBidi" w:hAnsiTheme="majorBidi" w:cstheme="majorBidi"/>
          <w:sz w:val="24"/>
          <w:szCs w:val="24"/>
          <w:rtl/>
          <w:lang w:val="es-ES"/>
        </w:rPr>
        <w:t>13. בוחן</w:t>
      </w:r>
    </w:p>
    <w:p w:rsidR="007D7341" w:rsidRPr="007D6EED" w:rsidRDefault="007D7341" w:rsidP="007D7341">
      <w:pPr>
        <w:rPr>
          <w:rFonts w:asciiTheme="majorBidi" w:hAnsiTheme="majorBidi" w:cstheme="majorBidi"/>
          <w:sz w:val="24"/>
          <w:szCs w:val="24"/>
          <w:rtl/>
        </w:rPr>
      </w:pPr>
      <w:r w:rsidRPr="007D6EED">
        <w:rPr>
          <w:rFonts w:asciiTheme="majorBidi" w:hAnsiTheme="majorBidi" w:cstheme="majorBidi"/>
          <w:sz w:val="24"/>
          <w:szCs w:val="24"/>
          <w:rtl/>
        </w:rPr>
        <w:t xml:space="preserve"> </w:t>
      </w:r>
    </w:p>
    <w:p w:rsidR="007D7341" w:rsidRPr="007D6EED" w:rsidRDefault="007D7341" w:rsidP="007D7341">
      <w:pPr>
        <w:rPr>
          <w:rFonts w:asciiTheme="majorBidi" w:hAnsiTheme="majorBidi" w:cstheme="majorBidi"/>
          <w:sz w:val="24"/>
          <w:szCs w:val="24"/>
          <w:rtl/>
        </w:rPr>
      </w:pPr>
    </w:p>
    <w:p w:rsidR="007D7341" w:rsidRPr="007D6EED" w:rsidRDefault="007D7341" w:rsidP="007D7341">
      <w:pPr>
        <w:rPr>
          <w:rFonts w:asciiTheme="majorBidi" w:hAnsiTheme="majorBidi" w:cstheme="majorBidi"/>
          <w:sz w:val="24"/>
          <w:szCs w:val="24"/>
          <w:u w:val="single"/>
          <w:rtl/>
        </w:rPr>
      </w:pPr>
      <w:r w:rsidRPr="007D6EED">
        <w:rPr>
          <w:rFonts w:asciiTheme="majorBidi" w:hAnsiTheme="majorBidi" w:cstheme="majorBidi"/>
          <w:sz w:val="24"/>
          <w:szCs w:val="24"/>
          <w:u w:val="single"/>
          <w:rtl/>
        </w:rPr>
        <w:t>סמסטר ב.</w:t>
      </w:r>
    </w:p>
    <w:p w:rsidR="007D7341" w:rsidRPr="007D6EED" w:rsidRDefault="007D7341" w:rsidP="007D7341">
      <w:pPr>
        <w:rPr>
          <w:rFonts w:asciiTheme="majorBidi" w:hAnsiTheme="majorBidi" w:cstheme="majorBidi"/>
          <w:b/>
          <w:bCs/>
          <w:sz w:val="24"/>
          <w:szCs w:val="24"/>
        </w:rPr>
      </w:pPr>
      <w:r w:rsidRPr="007D6EED">
        <w:rPr>
          <w:rFonts w:asciiTheme="majorBidi" w:hAnsiTheme="majorBidi" w:cstheme="majorBidi"/>
          <w:b/>
          <w:bCs/>
          <w:sz w:val="24"/>
          <w:szCs w:val="24"/>
          <w:rtl/>
        </w:rPr>
        <w:t>רפרטים של הסטודנטים: נושאים לבחירה</w:t>
      </w:r>
      <w:r w:rsidRPr="007D6EED">
        <w:rPr>
          <w:rFonts w:asciiTheme="majorBidi" w:hAnsiTheme="majorBidi" w:cstheme="majorBidi"/>
          <w:b/>
          <w:bCs/>
          <w:sz w:val="24"/>
          <w:szCs w:val="24"/>
        </w:rPr>
        <w:t>:</w:t>
      </w:r>
    </w:p>
    <w:p w:rsidR="007D7341" w:rsidRPr="007D6EED" w:rsidRDefault="007D7341" w:rsidP="007D7341">
      <w:pPr>
        <w:rPr>
          <w:rFonts w:asciiTheme="majorBidi" w:hAnsiTheme="majorBidi" w:cstheme="majorBidi"/>
          <w:sz w:val="24"/>
          <w:szCs w:val="24"/>
          <w:rtl/>
          <w:lang w:val="es-MX"/>
        </w:rPr>
      </w:pPr>
      <w:r w:rsidRPr="007D6EED">
        <w:rPr>
          <w:rFonts w:asciiTheme="majorBidi" w:hAnsiTheme="majorBidi" w:cstheme="majorBidi"/>
          <w:sz w:val="24"/>
          <w:szCs w:val="24"/>
          <w:rtl/>
          <w:lang w:val="es-MX"/>
        </w:rPr>
        <w:t>-נסטוריאניזם במאות הראשונות אחרי הפילוג</w:t>
      </w:r>
    </w:p>
    <w:p w:rsidR="007D7341" w:rsidRPr="007D6EED" w:rsidRDefault="007D7341" w:rsidP="007D7341">
      <w:pPr>
        <w:rPr>
          <w:rFonts w:asciiTheme="majorBidi" w:hAnsiTheme="majorBidi" w:cstheme="majorBidi"/>
          <w:sz w:val="24"/>
          <w:szCs w:val="24"/>
          <w:rtl/>
          <w:lang w:val="es-MX"/>
        </w:rPr>
      </w:pPr>
      <w:r w:rsidRPr="007D6EED">
        <w:rPr>
          <w:rFonts w:asciiTheme="majorBidi" w:hAnsiTheme="majorBidi" w:cstheme="majorBidi"/>
          <w:sz w:val="24"/>
          <w:szCs w:val="24"/>
          <w:rtl/>
          <w:lang w:val="es-MX"/>
        </w:rPr>
        <w:t xml:space="preserve">-הכנסיות הסוריות דוחה את החלטות ועידת קאלקדון. </w:t>
      </w:r>
    </w:p>
    <w:p w:rsidR="007D7341" w:rsidRPr="007D6EED" w:rsidRDefault="007D7341" w:rsidP="007D7341">
      <w:pPr>
        <w:rPr>
          <w:rFonts w:asciiTheme="majorBidi" w:hAnsiTheme="majorBidi" w:cstheme="majorBidi"/>
          <w:sz w:val="24"/>
          <w:szCs w:val="24"/>
          <w:rtl/>
        </w:rPr>
      </w:pPr>
      <w:r w:rsidRPr="007D6EED">
        <w:rPr>
          <w:rFonts w:asciiTheme="majorBidi" w:hAnsiTheme="majorBidi" w:cstheme="majorBidi"/>
          <w:sz w:val="24"/>
          <w:szCs w:val="24"/>
          <w:rtl/>
        </w:rPr>
        <w:t xml:space="preserve">- הכנסייה הקופטית המצרית וועידת קאלקדון. </w:t>
      </w:r>
    </w:p>
    <w:p w:rsidR="007D7341" w:rsidRPr="007D6EED" w:rsidRDefault="007D7341" w:rsidP="007D7341">
      <w:pPr>
        <w:rPr>
          <w:rFonts w:asciiTheme="majorBidi" w:hAnsiTheme="majorBidi" w:cstheme="majorBidi"/>
          <w:sz w:val="24"/>
          <w:szCs w:val="24"/>
          <w:rtl/>
        </w:rPr>
      </w:pPr>
      <w:r w:rsidRPr="007D6EED">
        <w:rPr>
          <w:rFonts w:asciiTheme="majorBidi" w:hAnsiTheme="majorBidi" w:cstheme="majorBidi"/>
          <w:sz w:val="24"/>
          <w:szCs w:val="24"/>
          <w:rtl/>
        </w:rPr>
        <w:t>-התפתחות מוסד הנזירות: סוריה ופרס</w:t>
      </w:r>
    </w:p>
    <w:p w:rsidR="007D7341" w:rsidRPr="007D6EED" w:rsidRDefault="007D7341" w:rsidP="007D7341">
      <w:pPr>
        <w:rPr>
          <w:rFonts w:asciiTheme="majorBidi" w:hAnsiTheme="majorBidi" w:cstheme="majorBidi"/>
          <w:sz w:val="24"/>
          <w:szCs w:val="24"/>
          <w:rtl/>
        </w:rPr>
      </w:pPr>
      <w:r w:rsidRPr="007D6EED">
        <w:rPr>
          <w:rFonts w:asciiTheme="majorBidi" w:hAnsiTheme="majorBidi" w:cstheme="majorBidi"/>
          <w:sz w:val="24"/>
          <w:szCs w:val="24"/>
          <w:rtl/>
        </w:rPr>
        <w:t>-התפתחות מוסד הנזירות: מצרים.</w:t>
      </w:r>
    </w:p>
    <w:p w:rsidR="007D7341" w:rsidRPr="007D6EED" w:rsidRDefault="007D7341" w:rsidP="007D7341">
      <w:pPr>
        <w:rPr>
          <w:rFonts w:asciiTheme="majorBidi" w:hAnsiTheme="majorBidi" w:cstheme="majorBidi"/>
          <w:sz w:val="24"/>
          <w:szCs w:val="24"/>
        </w:rPr>
      </w:pPr>
      <w:r w:rsidRPr="007D6EED">
        <w:rPr>
          <w:rFonts w:asciiTheme="majorBidi" w:hAnsiTheme="majorBidi" w:cstheme="majorBidi"/>
          <w:sz w:val="24"/>
          <w:szCs w:val="24"/>
          <w:rtl/>
        </w:rPr>
        <w:t>-התנצרותה של ממלכת אקסום (אתיופיה).</w:t>
      </w:r>
    </w:p>
    <w:p w:rsidR="007D7341" w:rsidRPr="007D6EED" w:rsidRDefault="007D7341" w:rsidP="007D7341">
      <w:pPr>
        <w:rPr>
          <w:rFonts w:asciiTheme="majorBidi" w:hAnsiTheme="majorBidi" w:cstheme="majorBidi"/>
          <w:sz w:val="24"/>
          <w:szCs w:val="24"/>
        </w:rPr>
      </w:pPr>
      <w:r w:rsidRPr="007D6EED">
        <w:rPr>
          <w:rFonts w:asciiTheme="majorBidi" w:hAnsiTheme="majorBidi" w:cstheme="majorBidi"/>
          <w:sz w:val="24"/>
          <w:szCs w:val="24"/>
          <w:rtl/>
        </w:rPr>
        <w:t>-תפיסות נוצריות על צמיחת האסלאם</w:t>
      </w:r>
    </w:p>
    <w:p w:rsidR="007D7341" w:rsidRPr="007D6EED" w:rsidRDefault="007D7341" w:rsidP="007D7341">
      <w:pPr>
        <w:rPr>
          <w:rFonts w:asciiTheme="majorBidi" w:hAnsiTheme="majorBidi" w:cstheme="majorBidi"/>
          <w:sz w:val="24"/>
          <w:szCs w:val="24"/>
        </w:rPr>
      </w:pPr>
      <w:r w:rsidRPr="007D6EED">
        <w:rPr>
          <w:rFonts w:asciiTheme="majorBidi" w:hAnsiTheme="majorBidi" w:cstheme="majorBidi"/>
          <w:sz w:val="24"/>
          <w:szCs w:val="24"/>
          <w:rtl/>
        </w:rPr>
        <w:t>-נוצרים והחקיקה המוסלמית</w:t>
      </w:r>
    </w:p>
    <w:p w:rsidR="007D7341" w:rsidRPr="007D6EED" w:rsidRDefault="007D7341" w:rsidP="007D7341">
      <w:pPr>
        <w:rPr>
          <w:rFonts w:asciiTheme="majorBidi" w:hAnsiTheme="majorBidi" w:cstheme="majorBidi"/>
          <w:sz w:val="24"/>
          <w:szCs w:val="24"/>
          <w:rtl/>
          <w:lang w:val="es-MX"/>
        </w:rPr>
      </w:pPr>
      <w:r w:rsidRPr="007D6EED">
        <w:rPr>
          <w:rFonts w:asciiTheme="majorBidi" w:hAnsiTheme="majorBidi" w:cstheme="majorBidi"/>
          <w:sz w:val="24"/>
          <w:szCs w:val="24"/>
          <w:rtl/>
          <w:lang w:val="es-MX"/>
        </w:rPr>
        <w:t xml:space="preserve">-אתיופיה והאסלאם. </w:t>
      </w:r>
    </w:p>
    <w:p w:rsidR="007D7341" w:rsidRPr="007D6EED" w:rsidRDefault="007D7341" w:rsidP="007D7341">
      <w:pPr>
        <w:rPr>
          <w:rFonts w:asciiTheme="majorBidi" w:hAnsiTheme="majorBidi" w:cstheme="majorBidi"/>
          <w:sz w:val="24"/>
          <w:szCs w:val="24"/>
          <w:rtl/>
        </w:rPr>
      </w:pPr>
      <w:r w:rsidRPr="007D6EED">
        <w:rPr>
          <w:rFonts w:asciiTheme="majorBidi" w:hAnsiTheme="majorBidi" w:cstheme="majorBidi"/>
          <w:sz w:val="24"/>
          <w:szCs w:val="24"/>
          <w:rtl/>
          <w:lang w:val="es-MX"/>
        </w:rPr>
        <w:t>-שושלת שלמה המוקדמת באתיופיה: מדינה, כנסייה ותרבות</w:t>
      </w:r>
    </w:p>
    <w:p w:rsidR="007D7341" w:rsidRPr="007D6EED" w:rsidRDefault="007D7341" w:rsidP="007D7341">
      <w:pPr>
        <w:rPr>
          <w:rFonts w:asciiTheme="majorBidi" w:hAnsiTheme="majorBidi" w:cstheme="majorBidi"/>
          <w:sz w:val="24"/>
          <w:szCs w:val="24"/>
          <w:rtl/>
        </w:rPr>
      </w:pPr>
      <w:r w:rsidRPr="007D6EED">
        <w:rPr>
          <w:rFonts w:asciiTheme="majorBidi" w:hAnsiTheme="majorBidi" w:cstheme="majorBidi"/>
          <w:sz w:val="24"/>
          <w:szCs w:val="24"/>
          <w:rtl/>
        </w:rPr>
        <w:t>-</w:t>
      </w:r>
      <w:r w:rsidRPr="007D6EED">
        <w:rPr>
          <w:rFonts w:asciiTheme="majorBidi" w:hAnsiTheme="majorBidi" w:cstheme="majorBidi"/>
          <w:sz w:val="24"/>
          <w:szCs w:val="24"/>
          <w:rtl/>
          <w:lang w:val="es-MX"/>
        </w:rPr>
        <w:t>ספרות נוצרית במזרח</w:t>
      </w:r>
    </w:p>
    <w:p w:rsidR="007D7341" w:rsidRPr="007D6EED" w:rsidRDefault="007D7341" w:rsidP="007D7341">
      <w:pPr>
        <w:rPr>
          <w:rFonts w:asciiTheme="majorBidi" w:hAnsiTheme="majorBidi" w:cstheme="majorBidi"/>
          <w:sz w:val="24"/>
          <w:szCs w:val="24"/>
          <w:rtl/>
        </w:rPr>
      </w:pPr>
      <w:r w:rsidRPr="007D6EED">
        <w:rPr>
          <w:rFonts w:asciiTheme="majorBidi" w:hAnsiTheme="majorBidi" w:cstheme="majorBidi"/>
          <w:sz w:val="24"/>
          <w:szCs w:val="24"/>
          <w:rtl/>
        </w:rPr>
        <w:t xml:space="preserve"> -נוסעים מערבים והנצרות המזרחית בימי הביניים.</w:t>
      </w:r>
    </w:p>
    <w:p w:rsidR="007D7341" w:rsidRPr="007D6EED" w:rsidRDefault="007D7341" w:rsidP="007D7341">
      <w:pPr>
        <w:rPr>
          <w:rFonts w:asciiTheme="majorBidi" w:hAnsiTheme="majorBidi" w:cstheme="majorBidi"/>
          <w:sz w:val="24"/>
          <w:szCs w:val="24"/>
        </w:rPr>
      </w:pPr>
      <w:r w:rsidRPr="007D6EED">
        <w:rPr>
          <w:rFonts w:asciiTheme="majorBidi" w:hAnsiTheme="majorBidi" w:cstheme="majorBidi"/>
          <w:sz w:val="24"/>
          <w:szCs w:val="24"/>
          <w:rtl/>
        </w:rPr>
        <w:t>-ועידת פירנצה: ניסיון ראשון להשלמה בין הצרות המזרחית למערב.</w:t>
      </w:r>
    </w:p>
    <w:p w:rsidR="007D7341" w:rsidRPr="007D6EED" w:rsidRDefault="007D7341" w:rsidP="007D7341">
      <w:pPr>
        <w:rPr>
          <w:rFonts w:asciiTheme="majorBidi" w:hAnsiTheme="majorBidi" w:cstheme="majorBidi"/>
          <w:sz w:val="24"/>
          <w:szCs w:val="24"/>
        </w:rPr>
      </w:pPr>
      <w:r w:rsidRPr="007D6EED">
        <w:rPr>
          <w:rFonts w:asciiTheme="majorBidi" w:hAnsiTheme="majorBidi" w:cstheme="majorBidi"/>
          <w:sz w:val="24"/>
          <w:szCs w:val="24"/>
          <w:rtl/>
        </w:rPr>
        <w:t>-הרפורמציה הקתולית והשאיפה לאיחוד עם כנסיות המזרח.</w:t>
      </w:r>
    </w:p>
    <w:p w:rsidR="007D7341" w:rsidRPr="007D6EED" w:rsidRDefault="007D7341" w:rsidP="007D7341">
      <w:pPr>
        <w:rPr>
          <w:rFonts w:asciiTheme="majorBidi" w:hAnsiTheme="majorBidi" w:cstheme="majorBidi"/>
          <w:sz w:val="24"/>
          <w:szCs w:val="24"/>
        </w:rPr>
      </w:pPr>
      <w:r w:rsidRPr="007D6EED">
        <w:rPr>
          <w:rFonts w:asciiTheme="majorBidi" w:hAnsiTheme="majorBidi" w:cstheme="majorBidi"/>
          <w:sz w:val="24"/>
          <w:szCs w:val="24"/>
          <w:rtl/>
        </w:rPr>
        <w:t>-ניסיונות איחוד עם הכנסייה הסורית-מלבאר בהודו.</w:t>
      </w:r>
    </w:p>
    <w:p w:rsidR="007D7341" w:rsidRPr="007D6EED" w:rsidRDefault="007D7341" w:rsidP="007D7341">
      <w:pPr>
        <w:rPr>
          <w:rFonts w:asciiTheme="majorBidi" w:hAnsiTheme="majorBidi" w:cstheme="majorBidi"/>
          <w:sz w:val="24"/>
          <w:szCs w:val="24"/>
          <w:rtl/>
        </w:rPr>
      </w:pPr>
      <w:r w:rsidRPr="007D6EED">
        <w:rPr>
          <w:rFonts w:asciiTheme="majorBidi" w:hAnsiTheme="majorBidi" w:cstheme="majorBidi"/>
          <w:sz w:val="24"/>
          <w:szCs w:val="24"/>
          <w:rtl/>
        </w:rPr>
        <w:t>-הכנסיות האונייטיות</w:t>
      </w:r>
    </w:p>
    <w:p w:rsidR="007D7341" w:rsidRPr="007D6EED" w:rsidRDefault="007D7341" w:rsidP="007D7341">
      <w:pPr>
        <w:rPr>
          <w:rFonts w:asciiTheme="majorBidi" w:hAnsiTheme="majorBidi" w:cstheme="majorBidi"/>
          <w:sz w:val="24"/>
          <w:szCs w:val="24"/>
          <w:rtl/>
        </w:rPr>
      </w:pPr>
      <w:r w:rsidRPr="007D6EED">
        <w:rPr>
          <w:rFonts w:asciiTheme="majorBidi" w:hAnsiTheme="majorBidi" w:cstheme="majorBidi"/>
          <w:sz w:val="24"/>
          <w:szCs w:val="24"/>
          <w:rtl/>
        </w:rPr>
        <w:t>-יחסי מוסלמים-נוצרים בתקופה העות'מאנית.</w:t>
      </w:r>
    </w:p>
    <w:p w:rsidR="007D7341" w:rsidRPr="007D6EED" w:rsidRDefault="007D7341" w:rsidP="007D7341">
      <w:pPr>
        <w:rPr>
          <w:rFonts w:asciiTheme="majorBidi" w:hAnsiTheme="majorBidi" w:cstheme="majorBidi"/>
          <w:sz w:val="24"/>
          <w:szCs w:val="24"/>
          <w:rtl/>
        </w:rPr>
      </w:pPr>
      <w:r w:rsidRPr="007D6EED">
        <w:rPr>
          <w:rFonts w:asciiTheme="majorBidi" w:hAnsiTheme="majorBidi" w:cstheme="majorBidi"/>
          <w:sz w:val="24"/>
          <w:szCs w:val="24"/>
          <w:rtl/>
        </w:rPr>
        <w:t>-מיסיונרים במצרים ובאתיופיה במאות 19-20.</w:t>
      </w:r>
    </w:p>
    <w:p w:rsidR="007D7341" w:rsidRPr="007D6EED" w:rsidRDefault="007D7341" w:rsidP="007D7341">
      <w:pPr>
        <w:rPr>
          <w:rFonts w:asciiTheme="majorBidi" w:hAnsiTheme="majorBidi" w:cstheme="majorBidi"/>
          <w:sz w:val="24"/>
          <w:szCs w:val="24"/>
          <w:rtl/>
        </w:rPr>
      </w:pPr>
      <w:r w:rsidRPr="007D6EED">
        <w:rPr>
          <w:rFonts w:asciiTheme="majorBidi" w:hAnsiTheme="majorBidi" w:cstheme="majorBidi"/>
          <w:sz w:val="24"/>
          <w:szCs w:val="24"/>
          <w:rtl/>
        </w:rPr>
        <w:t>-כנסייה ומדינה באתיופיה במאה ה20.</w:t>
      </w:r>
    </w:p>
    <w:p w:rsidR="007D7341" w:rsidRPr="007D6EED" w:rsidRDefault="007D7341" w:rsidP="007D7341">
      <w:pPr>
        <w:rPr>
          <w:rFonts w:asciiTheme="majorBidi" w:hAnsiTheme="majorBidi" w:cstheme="majorBidi"/>
          <w:sz w:val="24"/>
          <w:szCs w:val="24"/>
          <w:rtl/>
        </w:rPr>
      </w:pPr>
      <w:r w:rsidRPr="007D6EED">
        <w:rPr>
          <w:rFonts w:asciiTheme="majorBidi" w:hAnsiTheme="majorBidi" w:cstheme="majorBidi"/>
          <w:sz w:val="24"/>
          <w:szCs w:val="24"/>
          <w:rtl/>
        </w:rPr>
        <w:t>-הכנסייה הקופטית במצרים במאה ה20.</w:t>
      </w:r>
    </w:p>
    <w:p w:rsidR="007D7341" w:rsidRPr="007D6EED" w:rsidRDefault="007D7341" w:rsidP="007D7341">
      <w:pPr>
        <w:rPr>
          <w:rFonts w:asciiTheme="majorBidi" w:hAnsiTheme="majorBidi" w:cstheme="majorBidi"/>
          <w:sz w:val="24"/>
          <w:szCs w:val="24"/>
          <w:rtl/>
        </w:rPr>
      </w:pPr>
      <w:r w:rsidRPr="007D6EED">
        <w:rPr>
          <w:rFonts w:asciiTheme="majorBidi" w:hAnsiTheme="majorBidi" w:cstheme="majorBidi"/>
          <w:sz w:val="24"/>
          <w:szCs w:val="24"/>
          <w:rtl/>
        </w:rPr>
        <w:t>-הבוצרים סורים בסוריה.</w:t>
      </w:r>
    </w:p>
    <w:p w:rsidR="007D7341" w:rsidRPr="007D6EED" w:rsidRDefault="007D7341" w:rsidP="007D7341">
      <w:pPr>
        <w:spacing w:after="0" w:line="360" w:lineRule="auto"/>
        <w:rPr>
          <w:rFonts w:asciiTheme="majorBidi" w:hAnsiTheme="majorBidi" w:cstheme="majorBidi"/>
          <w:sz w:val="24"/>
          <w:szCs w:val="24"/>
          <w:rtl/>
        </w:rPr>
      </w:pPr>
      <w:r w:rsidRPr="007D6EED">
        <w:rPr>
          <w:rFonts w:asciiTheme="majorBidi" w:hAnsiTheme="majorBidi" w:cstheme="majorBidi"/>
          <w:sz w:val="24"/>
          <w:szCs w:val="24"/>
          <w:rtl/>
          <w:lang w:val="es-MX"/>
        </w:rPr>
        <w:lastRenderedPageBreak/>
        <w:t>-</w:t>
      </w:r>
      <w:r w:rsidRPr="007D6EED">
        <w:rPr>
          <w:rFonts w:asciiTheme="majorBidi" w:hAnsiTheme="majorBidi" w:cstheme="majorBidi"/>
          <w:sz w:val="24"/>
          <w:szCs w:val="24"/>
          <w:rtl/>
        </w:rPr>
        <w:t xml:space="preserve">יחסי יהודים נוצרים באימפריה הסאסנידית </w:t>
      </w:r>
    </w:p>
    <w:p w:rsidR="007D7341" w:rsidRPr="007D6EED" w:rsidRDefault="007D7341" w:rsidP="007D7341">
      <w:pPr>
        <w:spacing w:after="0" w:line="360" w:lineRule="auto"/>
        <w:rPr>
          <w:rFonts w:asciiTheme="majorBidi" w:hAnsiTheme="majorBidi" w:cstheme="majorBidi"/>
          <w:sz w:val="24"/>
          <w:szCs w:val="24"/>
        </w:rPr>
      </w:pPr>
      <w:r w:rsidRPr="007D6EED">
        <w:rPr>
          <w:rFonts w:asciiTheme="majorBidi" w:hAnsiTheme="majorBidi" w:cstheme="majorBidi"/>
          <w:sz w:val="24"/>
          <w:szCs w:val="24"/>
          <w:rtl/>
        </w:rPr>
        <w:t>-התפשטות הנצרות/האסלאם באתיופיה</w:t>
      </w:r>
    </w:p>
    <w:p w:rsidR="007D7341" w:rsidRPr="007D6EED" w:rsidRDefault="007D7341" w:rsidP="007D7341">
      <w:pPr>
        <w:spacing w:after="0" w:line="360" w:lineRule="auto"/>
        <w:rPr>
          <w:rFonts w:asciiTheme="majorBidi" w:hAnsiTheme="majorBidi" w:cstheme="majorBidi"/>
          <w:sz w:val="24"/>
          <w:szCs w:val="24"/>
        </w:rPr>
      </w:pPr>
      <w:r w:rsidRPr="007D6EED">
        <w:rPr>
          <w:rFonts w:asciiTheme="majorBidi" w:hAnsiTheme="majorBidi" w:cstheme="majorBidi"/>
          <w:sz w:val="24"/>
          <w:szCs w:val="24"/>
          <w:rtl/>
        </w:rPr>
        <w:t>-הקשרים בין הכנסייה האורתודוכסית באתיופיה לבין הכנסייה הקופטית במצרים.</w:t>
      </w:r>
    </w:p>
    <w:p w:rsidR="007D7341" w:rsidRPr="007D6EED" w:rsidRDefault="007D7341" w:rsidP="007D7341">
      <w:pPr>
        <w:spacing w:after="0" w:line="360" w:lineRule="auto"/>
        <w:rPr>
          <w:rFonts w:asciiTheme="majorBidi" w:hAnsiTheme="majorBidi" w:cstheme="majorBidi"/>
          <w:sz w:val="24"/>
          <w:szCs w:val="24"/>
          <w:rtl/>
        </w:rPr>
      </w:pPr>
      <w:r w:rsidRPr="007D6EED">
        <w:rPr>
          <w:rFonts w:asciiTheme="majorBidi" w:hAnsiTheme="majorBidi" w:cstheme="majorBidi"/>
          <w:sz w:val="24"/>
          <w:szCs w:val="24"/>
          <w:rtl/>
        </w:rPr>
        <w:t>-הנוצרים באימפריה הפרתית והסאסאנית</w:t>
      </w:r>
    </w:p>
    <w:p w:rsidR="007D7341" w:rsidRPr="007D6EED" w:rsidRDefault="007D7341" w:rsidP="007D7341">
      <w:pPr>
        <w:spacing w:after="0" w:line="360" w:lineRule="auto"/>
        <w:rPr>
          <w:rFonts w:asciiTheme="majorBidi" w:hAnsiTheme="majorBidi" w:cstheme="majorBidi"/>
          <w:sz w:val="24"/>
          <w:szCs w:val="24"/>
        </w:rPr>
      </w:pPr>
      <w:r w:rsidRPr="007D6EED">
        <w:rPr>
          <w:rFonts w:asciiTheme="majorBidi" w:hAnsiTheme="majorBidi" w:cstheme="majorBidi"/>
          <w:sz w:val="24"/>
          <w:szCs w:val="24"/>
          <w:rtl/>
        </w:rPr>
        <w:t>-הנזירות הקדומה במצריים וסוריה</w:t>
      </w:r>
    </w:p>
    <w:p w:rsidR="007D7341" w:rsidRPr="007D6EED" w:rsidRDefault="007D7341" w:rsidP="007D7341">
      <w:pPr>
        <w:spacing w:after="0" w:line="360" w:lineRule="auto"/>
        <w:rPr>
          <w:rFonts w:asciiTheme="majorBidi" w:hAnsiTheme="majorBidi" w:cstheme="majorBidi"/>
          <w:sz w:val="24"/>
          <w:szCs w:val="24"/>
        </w:rPr>
      </w:pPr>
      <w:r w:rsidRPr="007D6EED">
        <w:rPr>
          <w:rFonts w:asciiTheme="majorBidi" w:hAnsiTheme="majorBidi" w:cstheme="majorBidi"/>
          <w:sz w:val="24"/>
          <w:szCs w:val="24"/>
          <w:rtl/>
        </w:rPr>
        <w:t>-אתיופיה בראי ספרות הנוסעים הערבית/יהודית/אירופאית במאות השונות</w:t>
      </w:r>
    </w:p>
    <w:p w:rsidR="007D7341" w:rsidRPr="007D6EED" w:rsidRDefault="007D7341" w:rsidP="007D7341">
      <w:pPr>
        <w:spacing w:after="0" w:line="360" w:lineRule="auto"/>
        <w:rPr>
          <w:rFonts w:asciiTheme="majorBidi" w:hAnsiTheme="majorBidi" w:cstheme="majorBidi"/>
          <w:sz w:val="24"/>
          <w:szCs w:val="24"/>
        </w:rPr>
      </w:pPr>
      <w:r w:rsidRPr="007D6EED">
        <w:rPr>
          <w:rFonts w:asciiTheme="majorBidi" w:hAnsiTheme="majorBidi" w:cstheme="majorBidi"/>
          <w:sz w:val="24"/>
          <w:szCs w:val="24"/>
          <w:rtl/>
        </w:rPr>
        <w:t>-הנצרות כבסיס לבניית לגיטימציה קיסרית בתקופות אקסום/זגווה/השושלת הסולומונית</w:t>
      </w:r>
    </w:p>
    <w:p w:rsidR="007D7341" w:rsidRPr="007D6EED" w:rsidRDefault="007D7341" w:rsidP="007D7341">
      <w:pPr>
        <w:spacing w:after="0" w:line="360" w:lineRule="auto"/>
        <w:rPr>
          <w:rFonts w:asciiTheme="majorBidi" w:hAnsiTheme="majorBidi" w:cstheme="majorBidi"/>
          <w:sz w:val="24"/>
          <w:szCs w:val="24"/>
        </w:rPr>
      </w:pPr>
      <w:r w:rsidRPr="007D6EED">
        <w:rPr>
          <w:rFonts w:asciiTheme="majorBidi" w:hAnsiTheme="majorBidi" w:cstheme="majorBidi"/>
          <w:sz w:val="24"/>
          <w:szCs w:val="24"/>
          <w:rtl/>
        </w:rPr>
        <w:t>-יחסי מדינה-מוסלמים באתיופיה בתקופה הסולומונית</w:t>
      </w:r>
    </w:p>
    <w:p w:rsidR="007D7341" w:rsidRPr="007D6EED" w:rsidRDefault="007D7341" w:rsidP="007D7341">
      <w:pPr>
        <w:spacing w:after="0" w:line="360" w:lineRule="auto"/>
        <w:rPr>
          <w:rFonts w:asciiTheme="majorBidi" w:hAnsiTheme="majorBidi" w:cstheme="majorBidi"/>
          <w:sz w:val="24"/>
          <w:szCs w:val="24"/>
        </w:rPr>
      </w:pPr>
      <w:r w:rsidRPr="007D6EED">
        <w:rPr>
          <w:rFonts w:asciiTheme="majorBidi" w:hAnsiTheme="majorBidi" w:cstheme="majorBidi"/>
          <w:sz w:val="24"/>
          <w:szCs w:val="24"/>
          <w:rtl/>
        </w:rPr>
        <w:t>-השוואת מנהגים והלכות בקרב דתות שונות-כגון מנהגי טומאה וטוהרה</w:t>
      </w:r>
    </w:p>
    <w:p w:rsidR="007D7341" w:rsidRPr="007D6EED" w:rsidRDefault="007D7341" w:rsidP="007D7341">
      <w:pPr>
        <w:spacing w:after="0" w:line="360" w:lineRule="auto"/>
        <w:rPr>
          <w:rFonts w:asciiTheme="majorBidi" w:hAnsiTheme="majorBidi" w:cstheme="majorBidi"/>
          <w:sz w:val="24"/>
          <w:szCs w:val="24"/>
        </w:rPr>
      </w:pPr>
      <w:r w:rsidRPr="007D6EED">
        <w:rPr>
          <w:rFonts w:asciiTheme="majorBidi" w:hAnsiTheme="majorBidi" w:cstheme="majorBidi"/>
          <w:sz w:val="24"/>
          <w:szCs w:val="24"/>
          <w:rtl/>
        </w:rPr>
        <w:t>-תפיסת ירושלים בקרב נוצרים באתיופיה</w:t>
      </w:r>
    </w:p>
    <w:p w:rsidR="007D7341" w:rsidRPr="007D6EED" w:rsidRDefault="007D7341" w:rsidP="007D7341">
      <w:pPr>
        <w:spacing w:after="0" w:line="360" w:lineRule="auto"/>
        <w:rPr>
          <w:rFonts w:asciiTheme="majorBidi" w:hAnsiTheme="majorBidi" w:cstheme="majorBidi"/>
          <w:sz w:val="24"/>
          <w:szCs w:val="24"/>
        </w:rPr>
      </w:pPr>
      <w:r w:rsidRPr="007D6EED">
        <w:rPr>
          <w:rFonts w:asciiTheme="majorBidi" w:hAnsiTheme="majorBidi" w:cstheme="majorBidi"/>
          <w:sz w:val="24"/>
          <w:szCs w:val="24"/>
          <w:rtl/>
        </w:rPr>
        <w:t>-נושאים שונים הקשורים ליחסים בין נוצרים ומוסלמים במאה ה-16, למשל כיבושי גראן או כניסת הקתוליות לאתיופיה.</w:t>
      </w:r>
    </w:p>
    <w:p w:rsidR="007D7341" w:rsidRPr="007D6EED" w:rsidRDefault="007D7341" w:rsidP="007D7341">
      <w:pPr>
        <w:spacing w:after="0" w:line="360" w:lineRule="auto"/>
        <w:rPr>
          <w:rFonts w:asciiTheme="majorBidi" w:hAnsiTheme="majorBidi" w:cstheme="majorBidi"/>
          <w:sz w:val="24"/>
          <w:szCs w:val="24"/>
        </w:rPr>
      </w:pPr>
      <w:r w:rsidRPr="007D6EED">
        <w:rPr>
          <w:rFonts w:asciiTheme="majorBidi" w:hAnsiTheme="majorBidi" w:cstheme="majorBidi"/>
          <w:sz w:val="24"/>
          <w:szCs w:val="24"/>
          <w:rtl/>
        </w:rPr>
        <w:t>-הנצרויות המזרחיות ומגעיה עם הנצרות המערבית-למשל השוואה בין מגעים עם קתולים ופרוטסטנטים.</w:t>
      </w:r>
    </w:p>
    <w:p w:rsidR="007D7341" w:rsidRPr="007D6EED" w:rsidRDefault="007D7341" w:rsidP="007D7341">
      <w:pPr>
        <w:spacing w:after="0" w:line="360" w:lineRule="auto"/>
        <w:rPr>
          <w:rFonts w:asciiTheme="majorBidi" w:hAnsiTheme="majorBidi" w:cstheme="majorBidi"/>
          <w:sz w:val="24"/>
          <w:szCs w:val="24"/>
        </w:rPr>
      </w:pPr>
      <w:r w:rsidRPr="007D6EED">
        <w:rPr>
          <w:rFonts w:asciiTheme="majorBidi" w:hAnsiTheme="majorBidi" w:cstheme="majorBidi"/>
          <w:sz w:val="24"/>
          <w:szCs w:val="24"/>
          <w:rtl/>
        </w:rPr>
        <w:t>-פעולות מיסיונרית מערבית והשפעתה על החינוך אצל נוצרים מזרחים</w:t>
      </w:r>
    </w:p>
    <w:p w:rsidR="007D7341" w:rsidRPr="007D6EED" w:rsidRDefault="007D7341" w:rsidP="007D7341">
      <w:pPr>
        <w:spacing w:after="0" w:line="360" w:lineRule="auto"/>
        <w:rPr>
          <w:rFonts w:asciiTheme="majorBidi" w:hAnsiTheme="majorBidi" w:cstheme="majorBidi"/>
          <w:sz w:val="24"/>
          <w:szCs w:val="24"/>
          <w:rtl/>
        </w:rPr>
      </w:pPr>
      <w:r w:rsidRPr="007D6EED">
        <w:rPr>
          <w:rFonts w:asciiTheme="majorBidi" w:hAnsiTheme="majorBidi" w:cstheme="majorBidi"/>
          <w:sz w:val="24"/>
          <w:szCs w:val="24"/>
          <w:rtl/>
        </w:rPr>
        <w:t>-הצלבנים ויחסם כלפי הנוצרים בארץ ישראל</w:t>
      </w:r>
    </w:p>
    <w:p w:rsidR="007D7341" w:rsidRPr="007D6EED" w:rsidRDefault="007D7341" w:rsidP="007D7341">
      <w:pPr>
        <w:spacing w:after="0" w:line="360" w:lineRule="auto"/>
        <w:rPr>
          <w:rFonts w:asciiTheme="majorBidi" w:hAnsiTheme="majorBidi" w:cstheme="majorBidi"/>
          <w:sz w:val="24"/>
          <w:szCs w:val="24"/>
          <w:rtl/>
        </w:rPr>
      </w:pPr>
      <w:r w:rsidRPr="007D6EED">
        <w:rPr>
          <w:rFonts w:asciiTheme="majorBidi" w:hAnsiTheme="majorBidi" w:cstheme="majorBidi"/>
          <w:sz w:val="24"/>
          <w:szCs w:val="24"/>
          <w:rtl/>
        </w:rPr>
        <w:t xml:space="preserve">-מצב החוקי והחברתי של הנוצרים באימפריה העות'מנית </w:t>
      </w:r>
    </w:p>
    <w:p w:rsidR="007D7341" w:rsidRPr="007D6EED" w:rsidRDefault="007D7341" w:rsidP="007D7341">
      <w:pPr>
        <w:spacing w:after="0" w:line="360" w:lineRule="auto"/>
        <w:rPr>
          <w:rFonts w:asciiTheme="majorBidi" w:hAnsiTheme="majorBidi" w:cstheme="majorBidi"/>
          <w:sz w:val="24"/>
          <w:szCs w:val="24"/>
          <w:rtl/>
        </w:rPr>
      </w:pPr>
      <w:r w:rsidRPr="007D6EED">
        <w:rPr>
          <w:rFonts w:asciiTheme="majorBidi" w:hAnsiTheme="majorBidi" w:cstheme="majorBidi"/>
          <w:sz w:val="24"/>
          <w:szCs w:val="24"/>
          <w:rtl/>
        </w:rPr>
        <w:t>-הנוצרים המרונים בלבנון</w:t>
      </w:r>
      <w:bookmarkStart w:id="1" w:name="_Toc496701643"/>
      <w:bookmarkStart w:id="2" w:name="_Toc496801570"/>
      <w:bookmarkStart w:id="3" w:name="_Toc496816285"/>
      <w:bookmarkStart w:id="4" w:name="_Toc496862494"/>
    </w:p>
    <w:p w:rsidR="007D7341" w:rsidRPr="007D6EED" w:rsidRDefault="007D7341" w:rsidP="007D7341">
      <w:pPr>
        <w:spacing w:after="0" w:line="360" w:lineRule="auto"/>
        <w:rPr>
          <w:rFonts w:asciiTheme="majorBidi" w:hAnsiTheme="majorBidi" w:cstheme="majorBidi"/>
          <w:sz w:val="24"/>
          <w:szCs w:val="24"/>
        </w:rPr>
      </w:pPr>
      <w:r w:rsidRPr="007D6EED">
        <w:rPr>
          <w:rFonts w:asciiTheme="majorBidi" w:hAnsiTheme="majorBidi" w:cstheme="majorBidi"/>
          <w:sz w:val="24"/>
          <w:szCs w:val="24"/>
          <w:rtl/>
        </w:rPr>
        <w:t>-היחסים בין דת ופוליטיקה באריתריאה</w:t>
      </w:r>
      <w:bookmarkEnd w:id="1"/>
      <w:r w:rsidRPr="007D6EED">
        <w:rPr>
          <w:rFonts w:asciiTheme="majorBidi" w:hAnsiTheme="majorBidi" w:cstheme="majorBidi"/>
          <w:sz w:val="24"/>
          <w:szCs w:val="24"/>
          <w:rtl/>
        </w:rPr>
        <w:t xml:space="preserve"> החל מאמצע המאה ה-20 ועד ימינו</w:t>
      </w:r>
      <w:bookmarkEnd w:id="2"/>
      <w:bookmarkEnd w:id="3"/>
      <w:bookmarkEnd w:id="4"/>
    </w:p>
    <w:p w:rsidR="007D7341" w:rsidRPr="007D6EED" w:rsidRDefault="007D7341" w:rsidP="007D7341">
      <w:pPr>
        <w:spacing w:after="0" w:line="360" w:lineRule="auto"/>
        <w:rPr>
          <w:rFonts w:asciiTheme="majorBidi" w:hAnsiTheme="majorBidi" w:cstheme="majorBidi"/>
          <w:sz w:val="24"/>
          <w:szCs w:val="24"/>
        </w:rPr>
      </w:pPr>
      <w:r w:rsidRPr="007D6EED">
        <w:rPr>
          <w:rFonts w:asciiTheme="majorBidi" w:hAnsiTheme="majorBidi" w:cstheme="majorBidi"/>
          <w:sz w:val="24"/>
          <w:szCs w:val="24"/>
          <w:rtl/>
        </w:rPr>
        <w:t>-אתיופיה ועולם האסלאם במאה ה-19</w:t>
      </w:r>
    </w:p>
    <w:p w:rsidR="007D7341" w:rsidRPr="007D6EED" w:rsidRDefault="007D7341" w:rsidP="007D7341">
      <w:pPr>
        <w:spacing w:after="0" w:line="360" w:lineRule="auto"/>
        <w:rPr>
          <w:rFonts w:asciiTheme="majorBidi" w:hAnsiTheme="majorBidi" w:cstheme="majorBidi"/>
          <w:sz w:val="24"/>
          <w:szCs w:val="24"/>
        </w:rPr>
      </w:pPr>
      <w:r w:rsidRPr="007D6EED">
        <w:rPr>
          <w:rFonts w:asciiTheme="majorBidi" w:hAnsiTheme="majorBidi" w:cstheme="majorBidi"/>
          <w:sz w:val="24"/>
          <w:szCs w:val="24"/>
          <w:rtl/>
        </w:rPr>
        <w:t>-קרב אדווה בעיניים נוצריות/מוסלמיות באתיופיה וברבי העולם</w:t>
      </w:r>
    </w:p>
    <w:p w:rsidR="007D7341" w:rsidRPr="007D6EED" w:rsidRDefault="007D7341" w:rsidP="007D7341">
      <w:pPr>
        <w:spacing w:after="0" w:line="360" w:lineRule="auto"/>
        <w:rPr>
          <w:rFonts w:asciiTheme="majorBidi" w:hAnsiTheme="majorBidi" w:cstheme="majorBidi"/>
          <w:sz w:val="24"/>
          <w:szCs w:val="24"/>
        </w:rPr>
      </w:pPr>
      <w:r w:rsidRPr="007D6EED">
        <w:rPr>
          <w:rFonts w:asciiTheme="majorBidi" w:hAnsiTheme="majorBidi" w:cstheme="majorBidi"/>
          <w:sz w:val="24"/>
          <w:szCs w:val="24"/>
          <w:rtl/>
        </w:rPr>
        <w:t>-יחסי מצרים-אתיופיה במאה ה-20</w:t>
      </w:r>
    </w:p>
    <w:p w:rsidR="007D7341" w:rsidRPr="007D6EED" w:rsidRDefault="007D7341" w:rsidP="007D7341">
      <w:pPr>
        <w:spacing w:after="0" w:line="360" w:lineRule="auto"/>
        <w:rPr>
          <w:rFonts w:asciiTheme="majorBidi" w:hAnsiTheme="majorBidi" w:cstheme="majorBidi"/>
          <w:sz w:val="24"/>
          <w:szCs w:val="24"/>
        </w:rPr>
      </w:pPr>
      <w:r w:rsidRPr="007D6EED">
        <w:rPr>
          <w:rFonts w:asciiTheme="majorBidi" w:hAnsiTheme="majorBidi" w:cstheme="majorBidi"/>
          <w:sz w:val="24"/>
          <w:szCs w:val="24"/>
          <w:rtl/>
        </w:rPr>
        <w:t>-יחסי אתיופיה-אריתריאה במאה העשרים</w:t>
      </w:r>
    </w:p>
    <w:p w:rsidR="007D7341" w:rsidRPr="007D6EED" w:rsidRDefault="007D7341" w:rsidP="007D7341">
      <w:pPr>
        <w:spacing w:after="0" w:line="360" w:lineRule="auto"/>
        <w:rPr>
          <w:rFonts w:asciiTheme="majorBidi" w:hAnsiTheme="majorBidi" w:cstheme="majorBidi"/>
          <w:sz w:val="24"/>
          <w:szCs w:val="24"/>
        </w:rPr>
      </w:pPr>
      <w:r w:rsidRPr="007D6EED">
        <w:rPr>
          <w:rFonts w:asciiTheme="majorBidi" w:hAnsiTheme="majorBidi" w:cstheme="majorBidi"/>
          <w:sz w:val="24"/>
          <w:szCs w:val="24"/>
          <w:rtl/>
        </w:rPr>
        <w:t>-יחסי אתיופיה-סומליה במאה העשרים</w:t>
      </w:r>
    </w:p>
    <w:p w:rsidR="007D7341" w:rsidRPr="007D6EED" w:rsidRDefault="007D7341" w:rsidP="007D7341">
      <w:pPr>
        <w:spacing w:after="0" w:line="360" w:lineRule="auto"/>
        <w:rPr>
          <w:rFonts w:asciiTheme="majorBidi" w:hAnsiTheme="majorBidi" w:cstheme="majorBidi"/>
          <w:sz w:val="24"/>
          <w:szCs w:val="24"/>
        </w:rPr>
      </w:pPr>
      <w:r w:rsidRPr="007D6EED">
        <w:rPr>
          <w:rFonts w:asciiTheme="majorBidi" w:hAnsiTheme="majorBidi" w:cstheme="majorBidi"/>
          <w:sz w:val="24"/>
          <w:szCs w:val="24"/>
          <w:rtl/>
        </w:rPr>
        <w:t xml:space="preserve">-היהודים המשיחים במדינת ישראל </w:t>
      </w:r>
    </w:p>
    <w:p w:rsidR="007D7341" w:rsidRPr="007D6EED" w:rsidRDefault="007D7341" w:rsidP="007D7341">
      <w:pPr>
        <w:spacing w:after="0" w:line="360" w:lineRule="auto"/>
        <w:rPr>
          <w:rFonts w:asciiTheme="majorBidi" w:hAnsiTheme="majorBidi" w:cstheme="majorBidi"/>
          <w:sz w:val="24"/>
          <w:szCs w:val="24"/>
          <w:rtl/>
        </w:rPr>
      </w:pPr>
      <w:r w:rsidRPr="007D6EED">
        <w:rPr>
          <w:rFonts w:asciiTheme="majorBidi" w:hAnsiTheme="majorBidi" w:cstheme="majorBidi"/>
          <w:sz w:val="24"/>
          <w:szCs w:val="24"/>
          <w:rtl/>
        </w:rPr>
        <w:t>-הכנסייה הארמנית ואימוץ האמונה הקתולית בקרב ארמנים במזרח התיכון</w:t>
      </w:r>
    </w:p>
    <w:p w:rsidR="007D7341" w:rsidRPr="007D6EED" w:rsidRDefault="007D7341" w:rsidP="007D7341">
      <w:pPr>
        <w:spacing w:after="0" w:line="360" w:lineRule="auto"/>
        <w:rPr>
          <w:rFonts w:asciiTheme="majorBidi" w:hAnsiTheme="majorBidi" w:cstheme="majorBidi"/>
          <w:sz w:val="24"/>
          <w:szCs w:val="24"/>
          <w:rtl/>
        </w:rPr>
      </w:pPr>
      <w:r w:rsidRPr="007D6EED">
        <w:rPr>
          <w:rFonts w:asciiTheme="majorBidi" w:hAnsiTheme="majorBidi" w:cstheme="majorBidi"/>
          <w:sz w:val="24"/>
          <w:szCs w:val="24"/>
          <w:rtl/>
        </w:rPr>
        <w:t>-ראסטפריאניזם</w:t>
      </w:r>
      <w:r w:rsidRPr="007D6EED">
        <w:rPr>
          <w:rFonts w:asciiTheme="majorBidi" w:hAnsiTheme="majorBidi" w:cstheme="majorBidi"/>
          <w:sz w:val="24"/>
          <w:szCs w:val="24"/>
        </w:rPr>
        <w:t xml:space="preserve"> </w:t>
      </w:r>
      <w:r w:rsidRPr="007D6EED">
        <w:rPr>
          <w:rFonts w:asciiTheme="majorBidi" w:hAnsiTheme="majorBidi" w:cstheme="majorBidi"/>
          <w:sz w:val="24"/>
          <w:szCs w:val="24"/>
          <w:rtl/>
        </w:rPr>
        <w:t>ואתיופיה</w:t>
      </w:r>
      <w:r w:rsidRPr="007D6EED">
        <w:rPr>
          <w:rFonts w:asciiTheme="majorBidi" w:hAnsiTheme="majorBidi" w:cstheme="majorBidi"/>
          <w:sz w:val="24"/>
          <w:szCs w:val="24"/>
        </w:rPr>
        <w:t xml:space="preserve"> </w:t>
      </w:r>
      <w:r w:rsidRPr="007D6EED">
        <w:rPr>
          <w:rFonts w:asciiTheme="majorBidi" w:hAnsiTheme="majorBidi" w:cstheme="majorBidi"/>
          <w:sz w:val="24"/>
          <w:szCs w:val="24"/>
          <w:rtl/>
        </w:rPr>
        <w:t>הקשר</w:t>
      </w:r>
      <w:r w:rsidRPr="007D6EED">
        <w:rPr>
          <w:rFonts w:asciiTheme="majorBidi" w:hAnsiTheme="majorBidi" w:cstheme="majorBidi"/>
          <w:sz w:val="24"/>
          <w:szCs w:val="24"/>
        </w:rPr>
        <w:t xml:space="preserve"> </w:t>
      </w:r>
      <w:r w:rsidRPr="007D6EED">
        <w:rPr>
          <w:rFonts w:asciiTheme="majorBidi" w:hAnsiTheme="majorBidi" w:cstheme="majorBidi"/>
          <w:sz w:val="24"/>
          <w:szCs w:val="24"/>
          <w:rtl/>
        </w:rPr>
        <w:t>היסטורי</w:t>
      </w:r>
      <w:r w:rsidRPr="007D6EED">
        <w:rPr>
          <w:rFonts w:asciiTheme="majorBidi" w:hAnsiTheme="majorBidi" w:cstheme="majorBidi"/>
          <w:sz w:val="24"/>
          <w:szCs w:val="24"/>
        </w:rPr>
        <w:t xml:space="preserve"> </w:t>
      </w:r>
      <w:r w:rsidRPr="007D6EED">
        <w:rPr>
          <w:rFonts w:asciiTheme="majorBidi" w:hAnsiTheme="majorBidi" w:cstheme="majorBidi"/>
          <w:sz w:val="24"/>
          <w:szCs w:val="24"/>
          <w:rtl/>
        </w:rPr>
        <w:t>ורעיוני</w:t>
      </w:r>
    </w:p>
    <w:p w:rsidR="007D7341" w:rsidRPr="007D6EED" w:rsidRDefault="007D7341" w:rsidP="007D7341">
      <w:pPr>
        <w:spacing w:after="0" w:line="360" w:lineRule="auto"/>
        <w:rPr>
          <w:rFonts w:asciiTheme="majorBidi" w:hAnsiTheme="majorBidi" w:cstheme="majorBidi"/>
          <w:sz w:val="24"/>
          <w:szCs w:val="24"/>
          <w:rtl/>
          <w:lang w:val="es-ES"/>
        </w:rPr>
      </w:pPr>
      <w:r w:rsidRPr="007D6EED">
        <w:rPr>
          <w:rFonts w:asciiTheme="majorBidi" w:hAnsiTheme="majorBidi" w:cstheme="majorBidi"/>
          <w:sz w:val="24"/>
          <w:szCs w:val="24"/>
          <w:rtl/>
          <w:lang w:val="es-ES"/>
        </w:rPr>
        <w:t>-הכנסיות האפריקאניות העצמיאות בניגריה.</w:t>
      </w:r>
    </w:p>
    <w:p w:rsidR="007D7341" w:rsidRPr="007D6EED" w:rsidRDefault="007D7341" w:rsidP="007D7341">
      <w:pPr>
        <w:spacing w:line="360" w:lineRule="auto"/>
        <w:rPr>
          <w:rFonts w:asciiTheme="majorBidi" w:hAnsiTheme="majorBidi" w:cstheme="majorBidi"/>
          <w:sz w:val="24"/>
          <w:szCs w:val="24"/>
          <w:rtl/>
        </w:rPr>
      </w:pPr>
      <w:r w:rsidRPr="007D6EED">
        <w:rPr>
          <w:rFonts w:asciiTheme="majorBidi" w:eastAsia="Calibri" w:hAnsiTheme="majorBidi" w:cstheme="majorBidi"/>
          <w:sz w:val="24"/>
          <w:szCs w:val="24"/>
          <w:rtl/>
        </w:rPr>
        <w:t>-</w:t>
      </w:r>
      <w:r w:rsidRPr="007D6EED">
        <w:rPr>
          <w:rFonts w:asciiTheme="majorBidi" w:hAnsiTheme="majorBidi" w:cstheme="majorBidi"/>
          <w:sz w:val="24"/>
          <w:szCs w:val="24"/>
          <w:rtl/>
        </w:rPr>
        <w:t>אנטרופולוגיה של המיסיון והמיסיונר</w:t>
      </w:r>
    </w:p>
    <w:p w:rsidR="007D7341" w:rsidRPr="007D6EED" w:rsidRDefault="007D7341" w:rsidP="007D7341">
      <w:pPr>
        <w:rPr>
          <w:rFonts w:asciiTheme="majorBidi" w:hAnsiTheme="majorBidi" w:cstheme="majorBidi"/>
          <w:sz w:val="24"/>
          <w:szCs w:val="24"/>
        </w:rPr>
      </w:pPr>
      <w:r w:rsidRPr="007D6EED">
        <w:rPr>
          <w:rFonts w:asciiTheme="majorBidi" w:hAnsiTheme="majorBidi" w:cstheme="majorBidi"/>
          <w:sz w:val="24"/>
          <w:szCs w:val="24"/>
          <w:rtl/>
          <w:lang w:val="es-MX"/>
        </w:rPr>
        <w:t>-</w:t>
      </w:r>
      <w:r w:rsidRPr="007D6EED">
        <w:rPr>
          <w:rFonts w:asciiTheme="majorBidi" w:hAnsiTheme="majorBidi" w:cstheme="majorBidi"/>
          <w:sz w:val="24"/>
          <w:szCs w:val="24"/>
          <w:rtl/>
        </w:rPr>
        <w:t>תרומתם של המיסיונרים למחקר והפצת הידע על אפריקה</w:t>
      </w:r>
    </w:p>
    <w:p w:rsidR="007D7341" w:rsidRPr="007D6EED" w:rsidRDefault="007D7341" w:rsidP="007D7341">
      <w:pPr>
        <w:rPr>
          <w:rFonts w:asciiTheme="majorBidi" w:hAnsiTheme="majorBidi" w:cstheme="majorBidi"/>
          <w:sz w:val="24"/>
          <w:szCs w:val="24"/>
          <w:rtl/>
        </w:rPr>
      </w:pPr>
      <w:r w:rsidRPr="007D6EED">
        <w:rPr>
          <w:rFonts w:asciiTheme="majorBidi" w:hAnsiTheme="majorBidi" w:cstheme="majorBidi"/>
          <w:sz w:val="24"/>
          <w:szCs w:val="24"/>
          <w:rtl/>
        </w:rPr>
        <w:t>-המיסיונרים והכוח הפוליטי: קונגו ואתיופיה</w:t>
      </w:r>
    </w:p>
    <w:p w:rsidR="007D7341" w:rsidRPr="007D6EED" w:rsidRDefault="007D7341" w:rsidP="007D7341">
      <w:pPr>
        <w:rPr>
          <w:rFonts w:asciiTheme="majorBidi" w:hAnsiTheme="majorBidi" w:cstheme="majorBidi"/>
          <w:sz w:val="24"/>
          <w:szCs w:val="24"/>
          <w:rtl/>
          <w:lang w:val="es-MX"/>
        </w:rPr>
      </w:pPr>
      <w:r w:rsidRPr="007D6EED">
        <w:rPr>
          <w:rFonts w:asciiTheme="majorBidi" w:hAnsiTheme="majorBidi" w:cstheme="majorBidi"/>
          <w:sz w:val="24"/>
          <w:szCs w:val="24"/>
          <w:rtl/>
        </w:rPr>
        <w:t xml:space="preserve">- </w:t>
      </w:r>
      <w:r w:rsidRPr="007D6EED">
        <w:rPr>
          <w:rFonts w:asciiTheme="majorBidi" w:hAnsiTheme="majorBidi" w:cstheme="majorBidi"/>
          <w:sz w:val="24"/>
          <w:szCs w:val="24"/>
          <w:rtl/>
          <w:lang w:val="es-MX"/>
        </w:rPr>
        <w:t xml:space="preserve">תפקידו של המיסיונר כרופא ומרפא. </w:t>
      </w:r>
    </w:p>
    <w:p w:rsidR="007D7341" w:rsidRPr="007D6EED" w:rsidRDefault="007D7341" w:rsidP="007D7341">
      <w:pPr>
        <w:rPr>
          <w:rFonts w:asciiTheme="majorBidi" w:hAnsiTheme="majorBidi" w:cstheme="majorBidi"/>
          <w:sz w:val="24"/>
          <w:szCs w:val="24"/>
          <w:rtl/>
        </w:rPr>
      </w:pPr>
      <w:r w:rsidRPr="007D6EED">
        <w:rPr>
          <w:rFonts w:asciiTheme="majorBidi" w:hAnsiTheme="majorBidi" w:cstheme="majorBidi"/>
          <w:sz w:val="24"/>
          <w:szCs w:val="24"/>
          <w:rtl/>
        </w:rPr>
        <w:t>-מיסיון וחינוך</w:t>
      </w:r>
    </w:p>
    <w:p w:rsidR="007D7341" w:rsidRPr="007D6EED" w:rsidRDefault="007D7341" w:rsidP="007D7341">
      <w:pPr>
        <w:rPr>
          <w:rFonts w:asciiTheme="majorBidi" w:hAnsiTheme="majorBidi" w:cstheme="majorBidi"/>
          <w:sz w:val="24"/>
          <w:szCs w:val="24"/>
          <w:rtl/>
          <w:lang w:val="es-MX"/>
        </w:rPr>
      </w:pPr>
      <w:r w:rsidRPr="007D6EED">
        <w:rPr>
          <w:rFonts w:asciiTheme="majorBidi" w:hAnsiTheme="majorBidi" w:cstheme="majorBidi"/>
          <w:sz w:val="24"/>
          <w:szCs w:val="24"/>
          <w:rtl/>
        </w:rPr>
        <w:lastRenderedPageBreak/>
        <w:t>-</w:t>
      </w:r>
      <w:r w:rsidRPr="007D6EED">
        <w:rPr>
          <w:rFonts w:asciiTheme="majorBidi" w:hAnsiTheme="majorBidi" w:cstheme="majorBidi"/>
          <w:sz w:val="24"/>
          <w:szCs w:val="24"/>
          <w:rtl/>
          <w:lang w:val="es-MX"/>
        </w:rPr>
        <w:t>הכנסייה הקתולית והבעיה של העבדות באפריקה</w:t>
      </w:r>
    </w:p>
    <w:p w:rsidR="007D7341" w:rsidRPr="007D6EED" w:rsidRDefault="007D7341" w:rsidP="007D7341">
      <w:pPr>
        <w:rPr>
          <w:rFonts w:asciiTheme="majorBidi" w:hAnsiTheme="majorBidi" w:cstheme="majorBidi"/>
          <w:sz w:val="24"/>
          <w:szCs w:val="24"/>
          <w:rtl/>
          <w:lang w:val="es-MX"/>
        </w:rPr>
      </w:pPr>
      <w:r w:rsidRPr="007D6EED">
        <w:rPr>
          <w:rFonts w:asciiTheme="majorBidi" w:hAnsiTheme="majorBidi" w:cstheme="majorBidi"/>
          <w:sz w:val="24"/>
          <w:szCs w:val="24"/>
          <w:rtl/>
          <w:lang w:val="es-MX"/>
        </w:rPr>
        <w:t>-השאלה של המרת דת באפריקה</w:t>
      </w:r>
    </w:p>
    <w:p w:rsidR="007D7341" w:rsidRPr="007D6EED" w:rsidRDefault="007D7341" w:rsidP="007D7341">
      <w:pPr>
        <w:rPr>
          <w:rFonts w:asciiTheme="majorBidi" w:hAnsiTheme="majorBidi" w:cstheme="majorBidi"/>
          <w:sz w:val="24"/>
          <w:szCs w:val="24"/>
          <w:rtl/>
          <w:lang w:val="es-MX"/>
        </w:rPr>
      </w:pPr>
      <w:r w:rsidRPr="007D6EED">
        <w:rPr>
          <w:rFonts w:asciiTheme="majorBidi" w:hAnsiTheme="majorBidi" w:cstheme="majorBidi"/>
          <w:sz w:val="24"/>
          <w:szCs w:val="24"/>
          <w:rtl/>
          <w:lang w:val="es-MX"/>
        </w:rPr>
        <w:t>-האפריקניזציה של הנצרות המיסיונרית</w:t>
      </w:r>
    </w:p>
    <w:p w:rsidR="007D7341" w:rsidRPr="007D6EED" w:rsidRDefault="007D7341" w:rsidP="007D7341">
      <w:pPr>
        <w:rPr>
          <w:rFonts w:asciiTheme="majorBidi" w:hAnsiTheme="majorBidi" w:cstheme="majorBidi"/>
          <w:sz w:val="24"/>
          <w:szCs w:val="24"/>
          <w:rtl/>
          <w:lang w:val="es-MX"/>
        </w:rPr>
      </w:pPr>
      <w:r w:rsidRPr="007D6EED">
        <w:rPr>
          <w:rFonts w:asciiTheme="majorBidi" w:hAnsiTheme="majorBidi" w:cstheme="majorBidi"/>
          <w:sz w:val="24"/>
          <w:szCs w:val="24"/>
          <w:rtl/>
          <w:lang w:val="es-MX"/>
        </w:rPr>
        <w:t>-ועידת וותיקן 2 מגיע לאפריקה</w:t>
      </w:r>
    </w:p>
    <w:p w:rsidR="007D7341" w:rsidRPr="007D6EED" w:rsidRDefault="007D7341" w:rsidP="007D7341">
      <w:pPr>
        <w:rPr>
          <w:rFonts w:asciiTheme="majorBidi" w:hAnsiTheme="majorBidi" w:cstheme="majorBidi"/>
          <w:sz w:val="24"/>
          <w:szCs w:val="24"/>
          <w:lang w:val="es-MX"/>
        </w:rPr>
      </w:pPr>
      <w:r w:rsidRPr="007D6EED">
        <w:rPr>
          <w:rFonts w:asciiTheme="majorBidi" w:hAnsiTheme="majorBidi" w:cstheme="majorBidi"/>
          <w:sz w:val="24"/>
          <w:szCs w:val="24"/>
          <w:rtl/>
          <w:lang w:val="es-MX"/>
        </w:rPr>
        <w:t>-תיאולוגיות חדשות באפריקה.</w:t>
      </w:r>
    </w:p>
    <w:p w:rsidR="007D7341" w:rsidRPr="007D7341" w:rsidRDefault="007D7341" w:rsidP="00BE24A7">
      <w:pPr>
        <w:jc w:val="center"/>
        <w:rPr>
          <w:rtl/>
          <w:lang w:val="es-MX"/>
        </w:rPr>
      </w:pPr>
    </w:p>
    <w:p w:rsidR="007D7341" w:rsidRDefault="007D7341" w:rsidP="00BE24A7">
      <w:pPr>
        <w:jc w:val="center"/>
        <w:rPr>
          <w:rtl/>
        </w:rPr>
      </w:pPr>
    </w:p>
    <w:p w:rsidR="007D7341" w:rsidRPr="00D05254" w:rsidRDefault="007D7341" w:rsidP="00BE24A7">
      <w:pPr>
        <w:jc w:val="center"/>
        <w:rPr>
          <w:rtl/>
        </w:rPr>
      </w:pPr>
    </w:p>
    <w:p w:rsidR="00E74560" w:rsidRPr="00D05254" w:rsidRDefault="00E74560" w:rsidP="00570DBC">
      <w:pPr>
        <w:rPr>
          <w:rFonts w:asciiTheme="majorBidi" w:hAnsiTheme="majorBidi" w:cstheme="majorBidi"/>
          <w:sz w:val="24"/>
          <w:szCs w:val="24"/>
          <w:rtl/>
        </w:rPr>
      </w:pPr>
    </w:p>
    <w:sectPr w:rsidR="00E74560" w:rsidRPr="00D05254" w:rsidSect="003C3A6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tempelGaramond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B75B4"/>
    <w:multiLevelType w:val="hybridMultilevel"/>
    <w:tmpl w:val="B4C4756C"/>
    <w:lvl w:ilvl="0" w:tplc="716CE0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75A89"/>
    <w:multiLevelType w:val="hybridMultilevel"/>
    <w:tmpl w:val="33D0282A"/>
    <w:lvl w:ilvl="0" w:tplc="259058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10"/>
    <w:rsid w:val="00001870"/>
    <w:rsid w:val="0004708B"/>
    <w:rsid w:val="00056F95"/>
    <w:rsid w:val="000E2573"/>
    <w:rsid w:val="000F55C0"/>
    <w:rsid w:val="00104A52"/>
    <w:rsid w:val="00111401"/>
    <w:rsid w:val="00144111"/>
    <w:rsid w:val="001A5704"/>
    <w:rsid w:val="001B54DD"/>
    <w:rsid w:val="001C2904"/>
    <w:rsid w:val="001C4D69"/>
    <w:rsid w:val="001C5A47"/>
    <w:rsid w:val="001E5A2B"/>
    <w:rsid w:val="00231428"/>
    <w:rsid w:val="00244C2B"/>
    <w:rsid w:val="00304510"/>
    <w:rsid w:val="00314A6B"/>
    <w:rsid w:val="003660CF"/>
    <w:rsid w:val="00394DD7"/>
    <w:rsid w:val="003C3A68"/>
    <w:rsid w:val="004137BE"/>
    <w:rsid w:val="004279C5"/>
    <w:rsid w:val="0045126F"/>
    <w:rsid w:val="00501F85"/>
    <w:rsid w:val="00542D10"/>
    <w:rsid w:val="00550898"/>
    <w:rsid w:val="00555CDC"/>
    <w:rsid w:val="00570DBC"/>
    <w:rsid w:val="005A288F"/>
    <w:rsid w:val="005B2A60"/>
    <w:rsid w:val="005D31A9"/>
    <w:rsid w:val="006014E9"/>
    <w:rsid w:val="006309CD"/>
    <w:rsid w:val="00674FD2"/>
    <w:rsid w:val="006B4951"/>
    <w:rsid w:val="006C6196"/>
    <w:rsid w:val="00730474"/>
    <w:rsid w:val="00754181"/>
    <w:rsid w:val="007616D3"/>
    <w:rsid w:val="007B4552"/>
    <w:rsid w:val="007D7341"/>
    <w:rsid w:val="008307D1"/>
    <w:rsid w:val="008F287C"/>
    <w:rsid w:val="00927C01"/>
    <w:rsid w:val="009F0007"/>
    <w:rsid w:val="009F567A"/>
    <w:rsid w:val="00AE7BF2"/>
    <w:rsid w:val="00B010FB"/>
    <w:rsid w:val="00B021E1"/>
    <w:rsid w:val="00B3523E"/>
    <w:rsid w:val="00B428EF"/>
    <w:rsid w:val="00B43628"/>
    <w:rsid w:val="00B44813"/>
    <w:rsid w:val="00BA4CD4"/>
    <w:rsid w:val="00BE24A7"/>
    <w:rsid w:val="00BF43E6"/>
    <w:rsid w:val="00CA6A30"/>
    <w:rsid w:val="00CC0E99"/>
    <w:rsid w:val="00D030F1"/>
    <w:rsid w:val="00D05254"/>
    <w:rsid w:val="00D575E0"/>
    <w:rsid w:val="00D77BCA"/>
    <w:rsid w:val="00DB4282"/>
    <w:rsid w:val="00DB7E2A"/>
    <w:rsid w:val="00DD2858"/>
    <w:rsid w:val="00E13FCA"/>
    <w:rsid w:val="00E21A49"/>
    <w:rsid w:val="00E55B55"/>
    <w:rsid w:val="00E66B98"/>
    <w:rsid w:val="00E74560"/>
    <w:rsid w:val="00E807D5"/>
    <w:rsid w:val="00E80A17"/>
    <w:rsid w:val="00E81FF3"/>
    <w:rsid w:val="00EB7BF2"/>
    <w:rsid w:val="00F14C31"/>
    <w:rsid w:val="00F44AC6"/>
    <w:rsid w:val="00F54F9C"/>
    <w:rsid w:val="00F7168E"/>
    <w:rsid w:val="00F9137E"/>
    <w:rsid w:val="00FA17D5"/>
    <w:rsid w:val="00FA55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5769"/>
  <w15:docId w15:val="{F7E4E16F-3D4A-49A3-A1EE-1B9BED5C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C2904"/>
    <w:rPr>
      <w:rFonts w:ascii="Courier New" w:eastAsia="Times New Roman" w:hAnsi="Courier New" w:cs="Courier New"/>
      <w:sz w:val="20"/>
      <w:szCs w:val="20"/>
    </w:rPr>
  </w:style>
  <w:style w:type="paragraph" w:styleId="Caption">
    <w:name w:val="caption"/>
    <w:basedOn w:val="Normal"/>
    <w:next w:val="Normal"/>
    <w:semiHidden/>
    <w:unhideWhenUsed/>
    <w:qFormat/>
    <w:rsid w:val="00BE24A7"/>
    <w:pPr>
      <w:spacing w:after="0" w:line="240" w:lineRule="auto"/>
      <w:jc w:val="center"/>
    </w:pPr>
    <w:rPr>
      <w:rFonts w:ascii="Times New Roman" w:eastAsia="Times New Roman" w:hAnsi="Times New Roman" w:cs="David"/>
      <w:b/>
      <w:bCs/>
      <w:sz w:val="28"/>
      <w:szCs w:val="28"/>
      <w:lang w:eastAsia="he-IL"/>
    </w:rPr>
  </w:style>
  <w:style w:type="paragraph" w:styleId="Subtitle">
    <w:name w:val="Subtitle"/>
    <w:basedOn w:val="Normal"/>
    <w:link w:val="SubtitleChar"/>
    <w:qFormat/>
    <w:rsid w:val="00BE24A7"/>
    <w:pPr>
      <w:spacing w:after="0" w:line="240" w:lineRule="auto"/>
    </w:pPr>
    <w:rPr>
      <w:rFonts w:ascii="Times New Roman" w:eastAsia="Times New Roman" w:hAnsi="Times New Roman" w:cs="Times New Roman"/>
      <w:b/>
      <w:bCs/>
      <w:sz w:val="24"/>
      <w:szCs w:val="24"/>
      <w:lang w:eastAsia="he-IL"/>
    </w:rPr>
  </w:style>
  <w:style w:type="character" w:customStyle="1" w:styleId="SubtitleChar">
    <w:name w:val="Subtitle Char"/>
    <w:basedOn w:val="DefaultParagraphFont"/>
    <w:link w:val="Subtitle"/>
    <w:rsid w:val="00BE24A7"/>
    <w:rPr>
      <w:rFonts w:ascii="Times New Roman" w:eastAsia="Times New Roman" w:hAnsi="Times New Roman" w:cs="Times New Roman"/>
      <w:b/>
      <w:bCs/>
      <w:sz w:val="24"/>
      <w:szCs w:val="24"/>
      <w:lang w:eastAsia="he-IL"/>
    </w:rPr>
  </w:style>
  <w:style w:type="paragraph" w:styleId="BalloonText">
    <w:name w:val="Balloon Text"/>
    <w:basedOn w:val="Normal"/>
    <w:link w:val="BalloonTextChar"/>
    <w:uiPriority w:val="99"/>
    <w:semiHidden/>
    <w:unhideWhenUsed/>
    <w:rsid w:val="00BE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4A7"/>
    <w:rPr>
      <w:rFonts w:ascii="Tahoma" w:hAnsi="Tahoma" w:cs="Tahoma"/>
      <w:sz w:val="16"/>
      <w:szCs w:val="16"/>
    </w:rPr>
  </w:style>
  <w:style w:type="paragraph" w:styleId="NormalWeb">
    <w:name w:val="Normal (Web)"/>
    <w:basedOn w:val="Normal"/>
    <w:uiPriority w:val="99"/>
    <w:semiHidden/>
    <w:unhideWhenUsed/>
    <w:rsid w:val="00B4362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B4552"/>
    <w:pPr>
      <w:ind w:left="720"/>
      <w:contextualSpacing/>
    </w:pPr>
  </w:style>
  <w:style w:type="paragraph" w:customStyle="1" w:styleId="CohenBibliography">
    <w:name w:val="Cohen Bibliography"/>
    <w:basedOn w:val="Normal"/>
    <w:rsid w:val="00E807D5"/>
    <w:pPr>
      <w:bidi w:val="0"/>
      <w:spacing w:after="40" w:line="252" w:lineRule="exact"/>
      <w:ind w:left="244" w:hanging="244"/>
      <w:jc w:val="both"/>
    </w:pPr>
    <w:rPr>
      <w:rFonts w:ascii="StempelGaramond Roman" w:eastAsia="Times New Roman" w:hAnsi="StempelGaramond Roman" w:cs="Times New Roman"/>
      <w:sz w:val="21"/>
      <w:szCs w:val="21"/>
      <w:lang w:val="en-GB"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893213">
      <w:bodyDiv w:val="1"/>
      <w:marLeft w:val="0"/>
      <w:marRight w:val="0"/>
      <w:marTop w:val="0"/>
      <w:marBottom w:val="0"/>
      <w:divBdr>
        <w:top w:val="none" w:sz="0" w:space="0" w:color="auto"/>
        <w:left w:val="none" w:sz="0" w:space="0" w:color="auto"/>
        <w:bottom w:val="none" w:sz="0" w:space="0" w:color="auto"/>
        <w:right w:val="none" w:sz="0" w:space="0" w:color="auto"/>
      </w:divBdr>
    </w:div>
    <w:div w:id="1566524930">
      <w:bodyDiv w:val="1"/>
      <w:marLeft w:val="0"/>
      <w:marRight w:val="0"/>
      <w:marTop w:val="0"/>
      <w:marBottom w:val="0"/>
      <w:divBdr>
        <w:top w:val="none" w:sz="0" w:space="0" w:color="auto"/>
        <w:left w:val="none" w:sz="0" w:space="0" w:color="auto"/>
        <w:bottom w:val="none" w:sz="0" w:space="0" w:color="auto"/>
        <w:right w:val="none" w:sz="0" w:space="0" w:color="auto"/>
      </w:divBdr>
    </w:div>
    <w:div w:id="182119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www.bgu.ac.il/gifs/new_logo.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F61BA-8D78-40B9-B722-B3D5A65D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6</Pages>
  <Words>916</Words>
  <Characters>5039</Characters>
  <Application>Microsoft Office Word</Application>
  <DocSecurity>0</DocSecurity>
  <Lines>41</Lines>
  <Paragraphs>11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Leonardo</cp:lastModifiedBy>
  <cp:revision>7</cp:revision>
  <dcterms:created xsi:type="dcterms:W3CDTF">2019-07-15T01:17:00Z</dcterms:created>
  <dcterms:modified xsi:type="dcterms:W3CDTF">2021-09-05T09:34:00Z</dcterms:modified>
</cp:coreProperties>
</file>